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99" w:rsidRPr="00930F99" w:rsidRDefault="00930F99" w:rsidP="00930F99">
      <w:pPr>
        <w:ind w:left="1134" w:right="1134"/>
        <w:jc w:val="center"/>
        <w:rPr>
          <w:rFonts w:ascii="Arial" w:eastAsia="Times New Roman" w:hAnsi="Arial" w:cs="Arial"/>
          <w:b/>
          <w:bCs/>
          <w:caps/>
          <w:sz w:val="24"/>
          <w:szCs w:val="24"/>
          <w:lang w:eastAsia="ru-RU"/>
        </w:rPr>
      </w:pPr>
      <w:r w:rsidRPr="00930F99">
        <w:rPr>
          <w:rFonts w:ascii="Arial" w:eastAsia="Times New Roman" w:hAnsi="Arial" w:cs="Arial"/>
          <w:b/>
          <w:bCs/>
          <w:caps/>
          <w:sz w:val="24"/>
          <w:szCs w:val="24"/>
          <w:lang w:eastAsia="ru-RU"/>
        </w:rPr>
        <w:t>ПОСТАНОВЛЕНИЕ ПРАВИТЕЛЬСТВА КЫРГЫЗСКОЙ РЕСПУБЛИКИ</w:t>
      </w:r>
    </w:p>
    <w:p w:rsidR="00930F99" w:rsidRPr="00930F99" w:rsidRDefault="00930F99" w:rsidP="00930F99">
      <w:pPr>
        <w:spacing w:before="200"/>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г.Бишкек, от 18 февраля 2012 года N 108</w:t>
      </w:r>
    </w:p>
    <w:p w:rsidR="00930F99" w:rsidRPr="00930F99" w:rsidRDefault="00930F99" w:rsidP="00930F99">
      <w:pPr>
        <w:spacing w:before="400" w:after="400"/>
        <w:ind w:left="1134" w:right="1134"/>
        <w:jc w:val="center"/>
        <w:rPr>
          <w:rFonts w:ascii="Arial" w:eastAsia="Times New Roman" w:hAnsi="Arial" w:cs="Arial"/>
          <w:b/>
          <w:bCs/>
          <w:sz w:val="24"/>
          <w:szCs w:val="24"/>
          <w:lang w:eastAsia="ru-RU"/>
        </w:rPr>
      </w:pPr>
      <w:bookmarkStart w:id="0" w:name="_GoBack"/>
      <w:r w:rsidRPr="00930F99">
        <w:rPr>
          <w:rFonts w:ascii="Arial" w:eastAsia="Times New Roman" w:hAnsi="Arial" w:cs="Arial"/>
          <w:b/>
          <w:bCs/>
          <w:sz w:val="24"/>
          <w:szCs w:val="24"/>
          <w:lang w:eastAsia="ru-RU"/>
        </w:rPr>
        <w:t>Об утверждении критериев оценки степени риска при осуществлении предпринимательской деятельности</w:t>
      </w:r>
    </w:p>
    <w:bookmarkEnd w:id="0"/>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постановлений Правительства КР от </w:t>
      </w:r>
      <w:hyperlink r:id="rId5" w:history="1">
        <w:r w:rsidRPr="00930F99">
          <w:rPr>
            <w:rFonts w:ascii="Arial" w:eastAsia="Times New Roman" w:hAnsi="Arial" w:cs="Arial"/>
            <w:i/>
            <w:iCs/>
            <w:color w:val="0000FF"/>
            <w:sz w:val="20"/>
            <w:szCs w:val="20"/>
            <w:u w:val="single"/>
            <w:lang w:eastAsia="ru-RU"/>
          </w:rPr>
          <w:t>15 июня 2012 года N 422</w:t>
        </w:r>
      </w:hyperlink>
      <w:r w:rsidRPr="00930F99">
        <w:rPr>
          <w:rFonts w:ascii="Arial" w:eastAsia="Times New Roman" w:hAnsi="Arial" w:cs="Arial"/>
          <w:i/>
          <w:iCs/>
          <w:sz w:val="20"/>
          <w:szCs w:val="20"/>
          <w:lang w:eastAsia="ru-RU"/>
        </w:rPr>
        <w:t xml:space="preserve">, </w:t>
      </w:r>
      <w:hyperlink r:id="rId6" w:history="1">
        <w:r w:rsidRPr="00930F99">
          <w:rPr>
            <w:rFonts w:ascii="Arial" w:eastAsia="Times New Roman" w:hAnsi="Arial" w:cs="Arial"/>
            <w:i/>
            <w:iCs/>
            <w:color w:val="0000FF"/>
            <w:sz w:val="20"/>
            <w:szCs w:val="20"/>
            <w:u w:val="single"/>
            <w:lang w:eastAsia="ru-RU"/>
          </w:rPr>
          <w:t>12 декабря 2012 года N 829</w:t>
        </w:r>
      </w:hyperlink>
      <w:r w:rsidRPr="00930F99">
        <w:rPr>
          <w:rFonts w:ascii="Arial" w:eastAsia="Times New Roman" w:hAnsi="Arial" w:cs="Arial"/>
          <w:i/>
          <w:iCs/>
          <w:sz w:val="20"/>
          <w:szCs w:val="20"/>
          <w:lang w:eastAsia="ru-RU"/>
        </w:rPr>
        <w:t xml:space="preserve">, </w:t>
      </w:r>
      <w:hyperlink r:id="rId7" w:history="1">
        <w:r w:rsidRPr="00930F99">
          <w:rPr>
            <w:rFonts w:ascii="Arial" w:eastAsia="Times New Roman" w:hAnsi="Arial" w:cs="Arial"/>
            <w:i/>
            <w:iCs/>
            <w:color w:val="0000FF"/>
            <w:sz w:val="20"/>
            <w:szCs w:val="20"/>
            <w:u w:val="single"/>
            <w:lang w:eastAsia="ru-RU"/>
          </w:rPr>
          <w:t>19 декабря 2013 года N 681</w:t>
        </w:r>
      </w:hyperlink>
      <w:r w:rsidRPr="00930F99">
        <w:rPr>
          <w:rFonts w:ascii="Arial" w:eastAsia="Times New Roman" w:hAnsi="Arial" w:cs="Arial"/>
          <w:i/>
          <w:iCs/>
          <w:sz w:val="20"/>
          <w:szCs w:val="20"/>
          <w:lang w:eastAsia="ru-RU"/>
        </w:rPr>
        <w:t xml:space="preserve">, </w:t>
      </w:r>
      <w:hyperlink r:id="rId8" w:history="1">
        <w:r w:rsidRPr="00930F99">
          <w:rPr>
            <w:rFonts w:ascii="Arial" w:eastAsia="Times New Roman" w:hAnsi="Arial" w:cs="Arial"/>
            <w:i/>
            <w:iCs/>
            <w:color w:val="0000FF"/>
            <w:sz w:val="20"/>
            <w:szCs w:val="20"/>
            <w:u w:val="single"/>
            <w:lang w:eastAsia="ru-RU"/>
          </w:rPr>
          <w:t>12 июня 2015 года № 353</w:t>
        </w:r>
      </w:hyperlink>
      <w:r w:rsidRPr="00930F99">
        <w:rPr>
          <w:rFonts w:ascii="Arial" w:eastAsia="Times New Roman" w:hAnsi="Arial" w:cs="Arial"/>
          <w:i/>
          <w:iCs/>
          <w:sz w:val="20"/>
          <w:szCs w:val="20"/>
          <w:lang w:eastAsia="ru-RU"/>
        </w:rPr>
        <w:t xml:space="preserve">, </w:t>
      </w:r>
      <w:hyperlink r:id="rId9" w:history="1">
        <w:r w:rsidRPr="00930F99">
          <w:rPr>
            <w:rFonts w:ascii="Arial" w:eastAsia="Times New Roman" w:hAnsi="Arial" w:cs="Arial"/>
            <w:i/>
            <w:iCs/>
            <w:color w:val="0000FF"/>
            <w:sz w:val="20"/>
            <w:szCs w:val="20"/>
            <w:u w:val="single"/>
            <w:lang w:eastAsia="ru-RU"/>
          </w:rPr>
          <w:t>30 июля 2015 года № 543</w:t>
        </w:r>
      </w:hyperlink>
      <w:r w:rsidRPr="00930F99">
        <w:rPr>
          <w:rFonts w:ascii="Arial" w:eastAsia="Times New Roman" w:hAnsi="Arial" w:cs="Arial"/>
          <w:i/>
          <w:iCs/>
          <w:sz w:val="20"/>
          <w:szCs w:val="20"/>
          <w:lang w:eastAsia="ru-RU"/>
        </w:rPr>
        <w:t xml:space="preserve">, </w:t>
      </w:r>
      <w:hyperlink r:id="rId10"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В целях реализации пункта 113 Плана мероприятий "Экономика и безопасность" на 2011 год по реализации </w:t>
      </w:r>
      <w:hyperlink r:id="rId11" w:history="1">
        <w:r w:rsidRPr="00930F99">
          <w:rPr>
            <w:rFonts w:ascii="Arial" w:eastAsia="Times New Roman" w:hAnsi="Arial" w:cs="Arial"/>
            <w:color w:val="0000FF"/>
            <w:sz w:val="20"/>
            <w:szCs w:val="20"/>
            <w:u w:val="single"/>
            <w:lang w:eastAsia="ru-RU"/>
          </w:rPr>
          <w:t>программы</w:t>
        </w:r>
      </w:hyperlink>
      <w:r w:rsidRPr="00930F99">
        <w:rPr>
          <w:rFonts w:ascii="Arial" w:eastAsia="Times New Roman" w:hAnsi="Arial" w:cs="Arial"/>
          <w:sz w:val="20"/>
          <w:szCs w:val="20"/>
          <w:lang w:eastAsia="ru-RU"/>
        </w:rPr>
        <w:t xml:space="preserve"> Правительства Кыргызской Республики, утвержденного </w:t>
      </w:r>
      <w:hyperlink r:id="rId12" w:history="1">
        <w:r w:rsidRPr="00930F99">
          <w:rPr>
            <w:rFonts w:ascii="Arial" w:eastAsia="Times New Roman" w:hAnsi="Arial" w:cs="Arial"/>
            <w:color w:val="0000FF"/>
            <w:sz w:val="20"/>
            <w:szCs w:val="20"/>
            <w:u w:val="single"/>
            <w:lang w:eastAsia="ru-RU"/>
          </w:rPr>
          <w:t>постановлением</w:t>
        </w:r>
      </w:hyperlink>
      <w:r w:rsidRPr="00930F99">
        <w:rPr>
          <w:rFonts w:ascii="Arial" w:eastAsia="Times New Roman" w:hAnsi="Arial" w:cs="Arial"/>
          <w:sz w:val="20"/>
          <w:szCs w:val="20"/>
          <w:lang w:eastAsia="ru-RU"/>
        </w:rPr>
        <w:t xml:space="preserve"> Правительства Кыргызской Республики "Об утверждении Плана мероприятий "Экономика и безопасность" на 2011 год по реализации </w:t>
      </w:r>
      <w:hyperlink r:id="rId13" w:history="1">
        <w:r w:rsidRPr="00930F99">
          <w:rPr>
            <w:rFonts w:ascii="Arial" w:eastAsia="Times New Roman" w:hAnsi="Arial" w:cs="Arial"/>
            <w:color w:val="0000FF"/>
            <w:sz w:val="20"/>
            <w:szCs w:val="20"/>
            <w:u w:val="single"/>
            <w:lang w:eastAsia="ru-RU"/>
          </w:rPr>
          <w:t>программы</w:t>
        </w:r>
      </w:hyperlink>
      <w:r w:rsidRPr="00930F99">
        <w:rPr>
          <w:rFonts w:ascii="Arial" w:eastAsia="Times New Roman" w:hAnsi="Arial" w:cs="Arial"/>
          <w:sz w:val="20"/>
          <w:szCs w:val="20"/>
          <w:lang w:eastAsia="ru-RU"/>
        </w:rPr>
        <w:t xml:space="preserve"> Правительства Кыргызской Республики" от 26 января 2011 года N 26, а также повышения эффективности проверок деятельности субъектов предпринимательства, устранения необоснованного и излишнего вмешательства государственных органов в деятельность субъектов предпринимательства Правительство Кыргызской Республики постановляет:</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 Утвердить прилагаемые </w:t>
      </w:r>
      <w:hyperlink r:id="rId14" w:anchor="pr" w:history="1">
        <w:r w:rsidRPr="00930F99">
          <w:rPr>
            <w:rFonts w:ascii="Arial" w:eastAsia="Times New Roman" w:hAnsi="Arial" w:cs="Arial"/>
            <w:color w:val="0000FF"/>
            <w:sz w:val="20"/>
            <w:szCs w:val="20"/>
            <w:u w:val="single"/>
            <w:lang w:eastAsia="ru-RU"/>
          </w:rPr>
          <w:t>критерии оценки</w:t>
        </w:r>
      </w:hyperlink>
      <w:r w:rsidRPr="00930F99">
        <w:rPr>
          <w:rFonts w:ascii="Arial" w:eastAsia="Times New Roman" w:hAnsi="Arial" w:cs="Arial"/>
          <w:sz w:val="20"/>
          <w:szCs w:val="20"/>
          <w:lang w:eastAsia="ru-RU"/>
        </w:rPr>
        <w:t xml:space="preserve"> степени риска при осуществлении предпринимательской деятельности (далее - критерии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Установить, что:</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 уполномоченные органы, имеющие право на проведение проверок субъектов предпринимательства, осуществляют плановые проверки согласно </w:t>
      </w:r>
      <w:hyperlink r:id="rId15" w:anchor="pr" w:history="1">
        <w:r w:rsidRPr="00930F99">
          <w:rPr>
            <w:rFonts w:ascii="Arial" w:eastAsia="Times New Roman" w:hAnsi="Arial" w:cs="Arial"/>
            <w:color w:val="0000FF"/>
            <w:sz w:val="20"/>
            <w:szCs w:val="20"/>
            <w:u w:val="single"/>
            <w:lang w:eastAsia="ru-RU"/>
          </w:rPr>
          <w:t>критериям риска</w:t>
        </w:r>
      </w:hyperlink>
      <w:r w:rsidRPr="00930F99">
        <w:rPr>
          <w:rFonts w:ascii="Arial" w:eastAsia="Times New Roman" w:hAnsi="Arial" w:cs="Arial"/>
          <w:sz w:val="20"/>
          <w:szCs w:val="20"/>
          <w:lang w:eastAsia="ru-RU"/>
        </w:rPr>
        <w:t>, утвержденным пунктом 1 настоящего постановления;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распределение субъектов предпринимательства по степеням риска осуществляют уполномоченные органы, имеющие право на проведение проверок субъектов предпринимательства;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ответственность за несвоевременность и некачественное внедрение критериев риска несут руководители уполномоченных органов, имеющих право на проведение проверок субъектов предпринимательства.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3. Уполномоченные органы, имеющие право на проведение проверок субъектов предпринимательства, обязаны разместить на официальных веб-сайтах </w:t>
      </w:r>
      <w:hyperlink r:id="rId16" w:anchor="pr" w:history="1">
        <w:r w:rsidRPr="00930F99">
          <w:rPr>
            <w:rFonts w:ascii="Arial" w:eastAsia="Times New Roman" w:hAnsi="Arial" w:cs="Arial"/>
            <w:color w:val="0000FF"/>
            <w:sz w:val="20"/>
            <w:szCs w:val="20"/>
            <w:u w:val="single"/>
            <w:lang w:eastAsia="ru-RU"/>
          </w:rPr>
          <w:t>критерии риска</w:t>
        </w:r>
      </w:hyperlink>
      <w:r w:rsidRPr="00930F99">
        <w:rPr>
          <w:rFonts w:ascii="Arial" w:eastAsia="Times New Roman" w:hAnsi="Arial" w:cs="Arial"/>
          <w:sz w:val="20"/>
          <w:szCs w:val="20"/>
          <w:lang w:eastAsia="ru-RU"/>
        </w:rPr>
        <w:t>, утвержденные пунктом 1 настоящего постановления.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 Контроль за исполнением настоящего постановления возложить на отдел экономики и инвестиций Аппарата Правительства Кыргызской Республики.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 Настоящее постановление вступает в силу по истечении 15 дней со дня официального опубликования.</w:t>
      </w:r>
    </w:p>
    <w:p w:rsidR="00930F99" w:rsidRPr="00930F99" w:rsidRDefault="00930F99" w:rsidP="00930F99">
      <w:pPr>
        <w:spacing w:after="60"/>
        <w:ind w:firstLine="567"/>
        <w:jc w:val="both"/>
        <w:rPr>
          <w:rFonts w:ascii="Arial" w:eastAsia="Times New Roman" w:hAnsi="Arial" w:cs="Arial"/>
          <w:i/>
          <w:iCs/>
          <w:color w:val="006600"/>
          <w:sz w:val="20"/>
          <w:szCs w:val="20"/>
          <w:lang w:eastAsia="ru-RU"/>
        </w:rPr>
      </w:pPr>
      <w:r w:rsidRPr="00930F99">
        <w:rPr>
          <w:rFonts w:ascii="Arial" w:eastAsia="Times New Roman" w:hAnsi="Arial" w:cs="Arial"/>
          <w:i/>
          <w:iCs/>
          <w:color w:val="006600"/>
          <w:sz w:val="20"/>
          <w:szCs w:val="20"/>
          <w:lang w:eastAsia="ru-RU"/>
        </w:rPr>
        <w:t>Опубликован в газете "Эркин Тоо" от 20 апреля 2012 года N 33-34</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0F99" w:rsidRPr="00930F99" w:rsidTr="00930F99">
        <w:tc>
          <w:tcPr>
            <w:tcW w:w="1750" w:type="pct"/>
            <w:tcMar>
              <w:top w:w="0" w:type="dxa"/>
              <w:left w:w="567" w:type="dxa"/>
              <w:bottom w:w="0" w:type="dxa"/>
              <w:right w:w="108" w:type="dxa"/>
            </w:tcMar>
            <w:hideMark/>
          </w:tcPr>
          <w:p w:rsidR="00930F99" w:rsidRPr="00930F99" w:rsidRDefault="00930F99" w:rsidP="00930F99">
            <w:pPr>
              <w:spacing w:after="60"/>
              <w:rPr>
                <w:rFonts w:ascii="Arial" w:eastAsia="Times New Roman" w:hAnsi="Arial" w:cs="Arial"/>
                <w:b/>
                <w:bCs/>
                <w:sz w:val="20"/>
                <w:szCs w:val="20"/>
                <w:lang w:eastAsia="ru-RU"/>
              </w:rPr>
            </w:pPr>
            <w:r w:rsidRPr="00930F99">
              <w:rPr>
                <w:rFonts w:ascii="Arial" w:eastAsia="Times New Roman" w:hAnsi="Arial" w:cs="Arial"/>
                <w:b/>
                <w:bCs/>
                <w:sz w:val="20"/>
                <w:szCs w:val="20"/>
                <w:lang w:eastAsia="ru-RU"/>
              </w:rPr>
              <w:t>Премьер-министр Кыргызской Республики</w:t>
            </w:r>
          </w:p>
        </w:tc>
        <w:tc>
          <w:tcPr>
            <w:tcW w:w="1500" w:type="pct"/>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b/>
                <w:bCs/>
                <w:sz w:val="20"/>
                <w:szCs w:val="20"/>
                <w:lang w:eastAsia="ru-RU"/>
              </w:rPr>
            </w:pPr>
            <w:r w:rsidRPr="00930F99">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930F99" w:rsidRPr="00930F99" w:rsidRDefault="00930F99" w:rsidP="00930F99">
            <w:pPr>
              <w:spacing w:after="60"/>
              <w:rPr>
                <w:rFonts w:ascii="Arial" w:eastAsia="Times New Roman" w:hAnsi="Arial" w:cs="Arial"/>
                <w:b/>
                <w:bCs/>
                <w:sz w:val="20"/>
                <w:szCs w:val="20"/>
                <w:lang w:eastAsia="ru-RU"/>
              </w:rPr>
            </w:pPr>
            <w:r w:rsidRPr="00930F99">
              <w:rPr>
                <w:rFonts w:ascii="Arial" w:eastAsia="Times New Roman" w:hAnsi="Arial" w:cs="Arial"/>
                <w:b/>
                <w:bCs/>
                <w:sz w:val="20"/>
                <w:szCs w:val="20"/>
                <w:lang w:eastAsia="ru-RU"/>
              </w:rPr>
              <w:t>О.Бабанов</w:t>
            </w:r>
          </w:p>
        </w:tc>
      </w:tr>
    </w:tbl>
    <w:p w:rsidR="00930F99" w:rsidRPr="00930F99" w:rsidRDefault="00930F99" w:rsidP="00930F99">
      <w:pPr>
        <w:spacing w:after="60"/>
        <w:ind w:firstLine="567"/>
        <w:jc w:val="both"/>
        <w:rPr>
          <w:rFonts w:ascii="Arial" w:eastAsia="Times New Roman" w:hAnsi="Arial" w:cs="Arial"/>
          <w:sz w:val="20"/>
          <w:szCs w:val="20"/>
          <w:lang w:eastAsia="ru-RU"/>
        </w:rPr>
      </w:pPr>
      <w:bookmarkStart w:id="1" w:name="pr"/>
      <w:r w:rsidRPr="00930F9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930F99" w:rsidRPr="00930F99" w:rsidTr="00930F99">
        <w:tc>
          <w:tcPr>
            <w:tcW w:w="1750" w:type="pct"/>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500" w:type="pct"/>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750" w:type="pct"/>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Утверждены</w:t>
            </w:r>
            <w:r w:rsidRPr="00930F99">
              <w:rPr>
                <w:rFonts w:ascii="Arial" w:eastAsia="Times New Roman" w:hAnsi="Arial" w:cs="Arial"/>
                <w:sz w:val="20"/>
                <w:szCs w:val="20"/>
                <w:lang w:eastAsia="ru-RU"/>
              </w:rPr>
              <w:br/>
              <w:t>постановлением Правительства Кыргызской Республики от 18 февраля 2012 года N 108</w:t>
            </w:r>
          </w:p>
        </w:tc>
      </w:tr>
    </w:tbl>
    <w:p w:rsidR="00930F99" w:rsidRPr="00930F99" w:rsidRDefault="00930F99" w:rsidP="00930F99">
      <w:pPr>
        <w:spacing w:before="400" w:after="400"/>
        <w:ind w:left="1134" w:right="1134"/>
        <w:jc w:val="center"/>
        <w:rPr>
          <w:rFonts w:ascii="Arial" w:eastAsia="Times New Roman" w:hAnsi="Arial" w:cs="Arial"/>
          <w:b/>
          <w:bCs/>
          <w:sz w:val="24"/>
          <w:szCs w:val="24"/>
          <w:lang w:eastAsia="ru-RU"/>
        </w:rPr>
      </w:pPr>
      <w:r w:rsidRPr="00930F99">
        <w:rPr>
          <w:rFonts w:ascii="Arial" w:eastAsia="Times New Roman" w:hAnsi="Arial" w:cs="Arial"/>
          <w:b/>
          <w:bCs/>
          <w:sz w:val="24"/>
          <w:szCs w:val="24"/>
          <w:lang w:eastAsia="ru-RU"/>
        </w:rPr>
        <w:lastRenderedPageBreak/>
        <w:t>Критерии оценки степени риска при осуществлении предпринимательской деятельности</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17" w:history="1">
        <w:r w:rsidRPr="00930F99">
          <w:rPr>
            <w:rFonts w:ascii="Arial" w:eastAsia="Times New Roman" w:hAnsi="Arial" w:cs="Arial"/>
            <w:i/>
            <w:iCs/>
            <w:color w:val="0000FF"/>
            <w:sz w:val="20"/>
            <w:szCs w:val="20"/>
            <w:u w:val="single"/>
            <w:lang w:eastAsia="ru-RU"/>
          </w:rPr>
          <w:t>15 июня 2012 года N 422</w:t>
        </w:r>
      </w:hyperlink>
      <w:r w:rsidRPr="00930F99">
        <w:rPr>
          <w:rFonts w:ascii="Arial" w:eastAsia="Times New Roman" w:hAnsi="Arial" w:cs="Arial"/>
          <w:i/>
          <w:iCs/>
          <w:sz w:val="20"/>
          <w:szCs w:val="20"/>
          <w:lang w:eastAsia="ru-RU"/>
        </w:rPr>
        <w:t xml:space="preserve">, </w:t>
      </w:r>
      <w:hyperlink r:id="rId18" w:history="1">
        <w:r w:rsidRPr="00930F99">
          <w:rPr>
            <w:rFonts w:ascii="Arial" w:eastAsia="Times New Roman" w:hAnsi="Arial" w:cs="Arial"/>
            <w:i/>
            <w:iCs/>
            <w:color w:val="0000FF"/>
            <w:sz w:val="20"/>
            <w:szCs w:val="20"/>
            <w:u w:val="single"/>
            <w:lang w:eastAsia="ru-RU"/>
          </w:rPr>
          <w:t>12 декабря 2012 года N 829</w:t>
        </w:r>
      </w:hyperlink>
      <w:r w:rsidRPr="00930F99">
        <w:rPr>
          <w:rFonts w:ascii="Arial" w:eastAsia="Times New Roman" w:hAnsi="Arial" w:cs="Arial"/>
          <w:i/>
          <w:iCs/>
          <w:sz w:val="20"/>
          <w:szCs w:val="20"/>
          <w:lang w:eastAsia="ru-RU"/>
        </w:rPr>
        <w:t xml:space="preserve">, </w:t>
      </w:r>
      <w:hyperlink r:id="rId19" w:history="1">
        <w:r w:rsidRPr="00930F99">
          <w:rPr>
            <w:rFonts w:ascii="Arial" w:eastAsia="Times New Roman" w:hAnsi="Arial" w:cs="Arial"/>
            <w:i/>
            <w:iCs/>
            <w:color w:val="0000FF"/>
            <w:sz w:val="20"/>
            <w:szCs w:val="20"/>
            <w:u w:val="single"/>
            <w:lang w:eastAsia="ru-RU"/>
          </w:rPr>
          <w:t>12 июня 2015 года № 353</w:t>
        </w:r>
      </w:hyperlink>
      <w:r w:rsidRPr="00930F99">
        <w:rPr>
          <w:rFonts w:ascii="Arial" w:eastAsia="Times New Roman" w:hAnsi="Arial" w:cs="Arial"/>
          <w:i/>
          <w:iCs/>
          <w:sz w:val="20"/>
          <w:szCs w:val="20"/>
          <w:lang w:eastAsia="ru-RU"/>
        </w:rPr>
        <w:t xml:space="preserve">, </w:t>
      </w:r>
      <w:hyperlink r:id="rId20" w:history="1">
        <w:r w:rsidRPr="00930F99">
          <w:rPr>
            <w:rFonts w:ascii="Arial" w:eastAsia="Times New Roman" w:hAnsi="Arial" w:cs="Arial"/>
            <w:i/>
            <w:iCs/>
            <w:color w:val="0000FF"/>
            <w:sz w:val="20"/>
            <w:szCs w:val="20"/>
            <w:u w:val="single"/>
            <w:lang w:eastAsia="ru-RU"/>
          </w:rPr>
          <w:t>30 июля 2015 года № 543</w:t>
        </w:r>
      </w:hyperlink>
      <w:r w:rsidRPr="00930F99">
        <w:rPr>
          <w:rFonts w:ascii="Arial" w:eastAsia="Times New Roman" w:hAnsi="Arial" w:cs="Arial"/>
          <w:i/>
          <w:iCs/>
          <w:sz w:val="20"/>
          <w:szCs w:val="20"/>
          <w:lang w:eastAsia="ru-RU"/>
        </w:rPr>
        <w:t xml:space="preserve">, </w:t>
      </w:r>
      <w:hyperlink r:id="rId21"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2" w:name="g1"/>
      <w:bookmarkEnd w:id="2"/>
      <w:r w:rsidRPr="00930F99">
        <w:rPr>
          <w:rFonts w:ascii="Arial" w:eastAsia="Times New Roman" w:hAnsi="Arial" w:cs="Arial"/>
          <w:b/>
          <w:bCs/>
          <w:sz w:val="24"/>
          <w:szCs w:val="24"/>
          <w:lang w:eastAsia="ru-RU"/>
        </w:rPr>
        <w:t>Глава 1. Общие положения</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(Глава</w:t>
      </w:r>
      <w:r w:rsidRPr="00930F99">
        <w:rPr>
          <w:rFonts w:ascii="Arial" w:eastAsia="Times New Roman" w:hAnsi="Arial" w:cs="Arial"/>
          <w:i/>
          <w:iCs/>
          <w:sz w:val="20"/>
          <w:szCs w:val="20"/>
          <w:lang w:eastAsia="ru-RU"/>
        </w:rPr>
        <w:br/>
        <w:t xml:space="preserve">в редакции постановления Правительства КР от </w:t>
      </w:r>
      <w:hyperlink r:id="rId22"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 Настоящие критерии оценки степени риска при осуществлении предпринимательской деятельности применяются при проведении проверок уполномоченными органами в соответствии с </w:t>
      </w:r>
      <w:hyperlink r:id="rId23" w:history="1">
        <w:r w:rsidRPr="00930F99">
          <w:rPr>
            <w:rFonts w:ascii="Arial" w:eastAsia="Times New Roman" w:hAnsi="Arial" w:cs="Arial"/>
            <w:color w:val="0000FF"/>
            <w:sz w:val="20"/>
            <w:szCs w:val="20"/>
            <w:u w:val="single"/>
            <w:lang w:eastAsia="ru-RU"/>
          </w:rPr>
          <w:t>Законом</w:t>
        </w:r>
      </w:hyperlink>
      <w:r w:rsidRPr="00930F99">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4"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Периодичность плановых проверок субъекта предпринимательства определяется в соответствии с присвоенной ему степенью риска.</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5"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Степень риска субъекта предпринимательства определяется отдельно в каждой области риска на основании критериев, определенных в соответствующих главах настоящих критериев оценки степени риска при осуществлении предпринимательской деятельности. В случаях и порядке, предусмотренными настоящими критериями, степень риска определяется по результатам суммирования баллов. В случаях и порядке, предусмотренными настоящими критериями, степень риска изменяется по результатам проведенных проверок.</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6"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 С учетом величины риска все подлежащие проверке субъекты предпринимательства относятся к одной из трех степеней риска: высокой, средней, незначительной.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сумме баллов от 1 до 40 субъекты предпринимательства относятся к незначительной степени риска и подлежат проверке не более одного раза в пять лет.</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сумме баллов от 41 до 70 субъекты предпринимательства относятся к средней степени риска и подлежат проверке не более одного раза в три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сумме баллов выше 70 субъекты предпринимательства относятся к высокой степени риска и подлежат проверке не более одного раза в год, а субъекты с высокой степенью санитарно-эпидемиологического риска - не более двух раз в год.</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7"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 В случае, если в пределах одной области риска субъект предпринимательства осуществляет несколько видов деятельности с разными степенями риска, проверки по направлениям деятельности с более низкой степенью риска осуществляются с периодичностью, соответствующей этой степени риска.</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8"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3" w:name="g2"/>
      <w:bookmarkEnd w:id="3"/>
      <w:r w:rsidRPr="00930F99">
        <w:rPr>
          <w:rFonts w:ascii="Arial" w:eastAsia="Times New Roman" w:hAnsi="Arial" w:cs="Arial"/>
          <w:b/>
          <w:bCs/>
          <w:sz w:val="24"/>
          <w:szCs w:val="24"/>
          <w:lang w:eastAsia="ru-RU"/>
        </w:rPr>
        <w:t xml:space="preserve">Глава 2. Критерии оценки степени риска предпринимательской деятельности в сфере обеспечения надежной, безопасной и бесперебойной работы энергооборудования при производстве, передаче, распределении и потреблении электрической, тепловой </w:t>
      </w:r>
      <w:r w:rsidRPr="00930F99">
        <w:rPr>
          <w:rFonts w:ascii="Arial" w:eastAsia="Times New Roman" w:hAnsi="Arial" w:cs="Arial"/>
          <w:b/>
          <w:bCs/>
          <w:sz w:val="24"/>
          <w:szCs w:val="24"/>
          <w:lang w:eastAsia="ru-RU"/>
        </w:rPr>
        <w:lastRenderedPageBreak/>
        <w:t>энергии и природного газа энергетическими предприятиями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 Субъекты предпринимательства, ведущие деятельность в сфере производства, передачи, распределения и потребления электрической, тепловой энергии и природного газа, делятся на 3 группы.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субъекты предпринимательства, осуществляющие выработку и передачу электрической и тепловой энергии;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субъекты предпринимательства, чья деятельность связана с распределением и потреблением электрической энергии;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газотранспортные, газоснабжающие и использующие природный газ субъекты предпринимательства.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 Процесс выработки и передачи электрической и тепловой энергии характеризуется следующими рисками: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риски, связанные с особенностями геологической системы республики: основные сооружения ГЭС располагаются на едином структурно-тектоническом блоке, ограниченном с севера на юг тектоническими разломами, что обуславливает высокую сейсмичность района (Кыргызстан входит в сейсмическую зону в 9-12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технологические риски: оборудование, используемое в данной системе, характеризуется высокой степенью изношенности, из-за длительной эксплуатации исчерпан его физический ресурс, оборудование морально устарело;</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масштабы последствий аварий: нарушения в работе каскада Токтогульских ГЭС, предприятий строящихся ГЭС, межгосударственных высоковольтных воздушных линий 110, 220, 500 кВ и высоковольтных подстанций 110, 220, 500 кВ, магистральных тепловых сетей влекут сбои всей энергосистемы республики, что, в свою очередь, приводит к нарушениям в работе промышленного комплекса, объектов социальной инфраструктуры, невыполнению международных обязательств республики; аварии в данной системе могут иметь катастрофические последствия не только для жителей республики, но и соседних государств.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8. По критериям оценки степени риска, перечисленным в пункте 7 настоящих Критериев, все субъекты, осуществляющие выработку и передачу электрической и тепловой энергии на территории республики, относятся к высокой степени риска:</w:t>
      </w:r>
    </w:p>
    <w:tbl>
      <w:tblPr>
        <w:tblW w:w="5000" w:type="pct"/>
        <w:tblCellMar>
          <w:left w:w="0" w:type="dxa"/>
          <w:right w:w="0" w:type="dxa"/>
        </w:tblCellMar>
        <w:tblLook w:val="04A0" w:firstRow="1" w:lastRow="0" w:firstColumn="1" w:lastColumn="0" w:noHBand="0" w:noVBand="1"/>
      </w:tblPr>
      <w:tblGrid>
        <w:gridCol w:w="514"/>
        <w:gridCol w:w="8067"/>
        <w:gridCol w:w="990"/>
      </w:tblGrid>
      <w:tr w:rsidR="00930F99" w:rsidRPr="00930F99" w:rsidTr="00930F99">
        <w:tc>
          <w:tcPr>
            <w:tcW w:w="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42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Сектор</w:t>
            </w:r>
          </w:p>
        </w:tc>
        <w:tc>
          <w:tcPr>
            <w:tcW w:w="5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Выработка электро-, теплоэнергии ОАО "Электрические станции" с филиалами:</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ТЭЦ города Бишкек;</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ТЭЦ города Ош с магистральными тепловыми сетями;</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Каскад Токтогульских ГЭС;</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Предприятие строящихся ГЭС;</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Камбар-Атинская ГЭС-2;</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Ат-Башинская ГЭС</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Выработка электроэнергии ОАО "Чакан ГЭС" с подразделениями:</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85</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каскад Аламединских ГЭС;</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85</w:t>
            </w:r>
          </w:p>
        </w:tc>
      </w:tr>
      <w:tr w:rsidR="00930F99" w:rsidRPr="00930F99" w:rsidTr="00930F9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Быстровская ГЭС</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85</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Передача электрической энергии ОАО "Национальные электрические сети Кыргызстана" с филиалами: </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Чуйское предприятие высоковольтных электрических сетей;</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Иссык-Кульское предприятие высоковольтных электрических сетей;</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Нарынское предприятие высоковольтных электрических сетей;</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Таласское предприятие высоковольтных электрических сетей;</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Жалалабатское предприятие высоковольтных электрических сетей;</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Ошское предприятие высоковольтных электрических сетей</w:t>
            </w:r>
            <w:r w:rsidRPr="00930F99">
              <w:rPr>
                <w:rFonts w:ascii="Arial" w:eastAsia="Times New Roman" w:hAnsi="Arial" w:cs="Arial"/>
                <w:sz w:val="20"/>
                <w:szCs w:val="20"/>
                <w:lang w:val="ky-KG" w:eastAsia="ru-RU"/>
              </w:rPr>
              <w:t>;</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Межгосударственные и высоковольтные воздушные линии 110 кВ, 220 кВ, 500 кВ;</w:t>
            </w:r>
          </w:p>
        </w:tc>
        <w:tc>
          <w:tcPr>
            <w:tcW w:w="54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3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высоковольтные подстанции 110 кВ, 220 кВ, 500 кВ</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423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Передача теплоэнергии Магистральные тепловые сети и паропроводы ОАО "Бишкектеплосеть"</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9. Определение степени риска субъектов в области распределения и потребления электрической энергии:</w:t>
      </w:r>
    </w:p>
    <w:tbl>
      <w:tblPr>
        <w:tblW w:w="5000" w:type="pct"/>
        <w:tblCellMar>
          <w:left w:w="0" w:type="dxa"/>
          <w:right w:w="0" w:type="dxa"/>
        </w:tblCellMar>
        <w:tblLook w:val="04A0" w:firstRow="1" w:lastRow="0" w:firstColumn="1" w:lastColumn="0" w:noHBand="0" w:noVBand="1"/>
      </w:tblPr>
      <w:tblGrid>
        <w:gridCol w:w="514"/>
        <w:gridCol w:w="2606"/>
        <w:gridCol w:w="3500"/>
        <w:gridCol w:w="2055"/>
        <w:gridCol w:w="896"/>
      </w:tblGrid>
      <w:tr w:rsidR="00930F99" w:rsidRPr="00930F99" w:rsidTr="00930F99">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степень риска</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объектов</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Род деятельности</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Распределительные электрокомпании:</w:t>
            </w:r>
            <w:r w:rsidRPr="00930F99">
              <w:rPr>
                <w:rFonts w:ascii="Arial" w:eastAsia="Times New Roman" w:hAnsi="Arial" w:cs="Arial"/>
                <w:sz w:val="20"/>
                <w:szCs w:val="20"/>
                <w:lang w:val="ky-KG" w:eastAsia="ru-RU"/>
              </w:rPr>
              <w:br/>
            </w:r>
            <w:r w:rsidRPr="00930F99">
              <w:rPr>
                <w:rFonts w:ascii="Arial" w:eastAsia="Times New Roman" w:hAnsi="Arial" w:cs="Arial"/>
                <w:sz w:val="20"/>
                <w:szCs w:val="20"/>
                <w:lang w:eastAsia="ru-RU"/>
              </w:rPr>
              <w:t>- ОАО "Северэлектро",</w:t>
            </w:r>
            <w:r w:rsidRPr="00930F99">
              <w:rPr>
                <w:rFonts w:ascii="Arial" w:eastAsia="Times New Roman" w:hAnsi="Arial" w:cs="Arial"/>
                <w:sz w:val="20"/>
                <w:szCs w:val="20"/>
                <w:lang w:val="ky-KG" w:eastAsia="ru-RU"/>
              </w:rPr>
              <w:br/>
            </w:r>
            <w:r w:rsidRPr="00930F99">
              <w:rPr>
                <w:rFonts w:ascii="Arial" w:eastAsia="Times New Roman" w:hAnsi="Arial" w:cs="Arial"/>
                <w:sz w:val="20"/>
                <w:szCs w:val="20"/>
                <w:lang w:eastAsia="ru-RU"/>
              </w:rPr>
              <w:t>- ОАО "Ошэлектро",</w:t>
            </w:r>
            <w:r w:rsidRPr="00930F99">
              <w:rPr>
                <w:rFonts w:ascii="Arial" w:eastAsia="Times New Roman" w:hAnsi="Arial" w:cs="Arial"/>
                <w:sz w:val="20"/>
                <w:szCs w:val="20"/>
                <w:lang w:val="ky-KG" w:eastAsia="ru-RU"/>
              </w:rPr>
              <w:br/>
            </w:r>
            <w:r w:rsidRPr="00930F99">
              <w:rPr>
                <w:rFonts w:ascii="Arial" w:eastAsia="Times New Roman" w:hAnsi="Arial" w:cs="Arial"/>
                <w:sz w:val="20"/>
                <w:szCs w:val="20"/>
                <w:lang w:eastAsia="ru-RU"/>
              </w:rPr>
              <w:t>- ОАО "Жалалабатэлектро",</w:t>
            </w:r>
            <w:r w:rsidRPr="00930F99">
              <w:rPr>
                <w:rFonts w:ascii="Arial" w:eastAsia="Times New Roman" w:hAnsi="Arial" w:cs="Arial"/>
                <w:sz w:val="20"/>
                <w:szCs w:val="20"/>
                <w:lang w:val="ky-KG" w:eastAsia="ru-RU"/>
              </w:rPr>
              <w:br/>
            </w:r>
            <w:r w:rsidRPr="00930F99">
              <w:rPr>
                <w:rFonts w:ascii="Arial" w:eastAsia="Times New Roman" w:hAnsi="Arial" w:cs="Arial"/>
                <w:sz w:val="20"/>
                <w:szCs w:val="20"/>
                <w:lang w:eastAsia="ru-RU"/>
              </w:rPr>
              <w:t>- ОАО "Востокэлектро"</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Распределяющие электроэнергию</w:t>
            </w:r>
          </w:p>
        </w:tc>
        <w:tc>
          <w:tcPr>
            <w:tcW w:w="995"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Потребители I категории, особой группы I категории в отношении надежности электроснабжения электроприемников</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Крупные промышленные предприятия</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Производящие промышленные товары и осуществляющие электроснабжение потребителей I категории по надежности электроснабжения, как продавцы электроэнергии, имеющие лицензию на соответствующий вид деятельности</w:t>
            </w:r>
          </w:p>
        </w:tc>
        <w:tc>
          <w:tcPr>
            <w:tcW w:w="995"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75</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Лицензиаты по продаже или передаче электроэнергии</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Оптовые покупатели - продавцы электроэнергии, имеющие лицензию на соответствующий вид деятельности. Потребители - перепродавцы электроэнергии, имеющие в своей собственности или на условиях аренды электросети и осуществляющие покупку электроэнергии и мощности у электроснабжающих организаций и (или) поставщиков для собственного потребления и для продажи по регулируемому тарифу и имеющие лицензию на соответствующий вид деятельности</w:t>
            </w:r>
          </w:p>
        </w:tc>
        <w:tc>
          <w:tcPr>
            <w:tcW w:w="995"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75</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Частные предприятия, учреждения</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Частные предприятия, имеющие насосные станции, частные предприятия, относящиеся к химической отрасли, со сложным технологическим процессом, частные медицинские учреждения, имеющие хирургические </w:t>
            </w:r>
            <w:r w:rsidRPr="00930F99">
              <w:rPr>
                <w:rFonts w:ascii="Arial" w:eastAsia="Times New Roman" w:hAnsi="Arial" w:cs="Arial"/>
                <w:sz w:val="20"/>
                <w:szCs w:val="20"/>
                <w:lang w:eastAsia="ru-RU"/>
              </w:rPr>
              <w:lastRenderedPageBreak/>
              <w:t>отделения, и т.д.</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71</w:t>
            </w:r>
          </w:p>
        </w:tc>
      </w:tr>
    </w:tbl>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w:t>
      </w:r>
    </w:p>
    <w:tbl>
      <w:tblPr>
        <w:tblW w:w="5000" w:type="pct"/>
        <w:tblCellMar>
          <w:left w:w="0" w:type="dxa"/>
          <w:right w:w="0" w:type="dxa"/>
        </w:tblCellMar>
        <w:tblLook w:val="04A0" w:firstRow="1" w:lastRow="0" w:firstColumn="1" w:lastColumn="0" w:noHBand="0" w:noVBand="1"/>
      </w:tblPr>
      <w:tblGrid>
        <w:gridCol w:w="514"/>
        <w:gridCol w:w="2607"/>
        <w:gridCol w:w="3499"/>
        <w:gridCol w:w="2055"/>
        <w:gridCol w:w="896"/>
      </w:tblGrid>
      <w:tr w:rsidR="00930F99" w:rsidRPr="00930F99" w:rsidTr="00930F99">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Средняя степень риска</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w:t>
            </w:r>
          </w:p>
        </w:tc>
        <w:tc>
          <w:tcPr>
            <w:tcW w:w="192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Род деятельности</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Крупные промышленные предприятия</w:t>
            </w:r>
          </w:p>
        </w:tc>
        <w:tc>
          <w:tcPr>
            <w:tcW w:w="192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Производящие промышленные товары и осуществляющие электроснабжение потребителей II категории по надежности электроснабжения, как продавцы электроэнергии, имеющие лицензию на соответствующий вид деятельности</w:t>
            </w:r>
          </w:p>
        </w:tc>
        <w:tc>
          <w:tcPr>
            <w:tcW w:w="989"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Потребители II категории в отношении надежности электроснабжения электроприемников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Лицензиаты по продаже или передаче электроэнергии</w:t>
            </w:r>
          </w:p>
        </w:tc>
        <w:tc>
          <w:tcPr>
            <w:tcW w:w="192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Оптовые покупатели - продавцы электроэнергии, имеющие лицензию на соответствующий вид деятельности. Потребители - перепродавцы электроэнергии, имеющие в своей собственности или на условиях аренды электросети и осуществляющие покупку электроэнергии и мощности у электроснабжающих организаций и (или) поставщиков для собственного потребления и для продажи по регулируемому тарифу имеющие лицензию на соответствующий вид деятельности</w:t>
            </w:r>
          </w:p>
        </w:tc>
        <w:tc>
          <w:tcPr>
            <w:tcW w:w="989"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Частные предприятия, учреждения, объекты торговли, культуры</w:t>
            </w:r>
          </w:p>
        </w:tc>
        <w:tc>
          <w:tcPr>
            <w:tcW w:w="192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Частные предприятия, относящиеся к отраслям со сложным технологическим процессом, объекты массового культурного отдыха и т.д.</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45</w:t>
            </w:r>
          </w:p>
        </w:tc>
      </w:tr>
    </w:tbl>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514"/>
        <w:gridCol w:w="2606"/>
        <w:gridCol w:w="3500"/>
        <w:gridCol w:w="2055"/>
        <w:gridCol w:w="896"/>
      </w:tblGrid>
      <w:tr w:rsidR="00930F99" w:rsidRPr="00930F99" w:rsidTr="00930F99">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Незначительная степень риска</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Род деятельности</w:t>
            </w:r>
          </w:p>
        </w:tc>
        <w:tc>
          <w:tcPr>
            <w:tcW w:w="10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5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Частные предприятия, учреждения, объекты малого бизнеса, производящие товары народного потребления, торговли, культуры, сауны, объекты общественного питания</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Разный вид деятельности</w:t>
            </w:r>
          </w:p>
        </w:tc>
        <w:tc>
          <w:tcPr>
            <w:tcW w:w="10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Потребители III категории в отношении надежности электроснабжения электроприемников</w:t>
            </w:r>
          </w:p>
        </w:tc>
        <w:tc>
          <w:tcPr>
            <w:tcW w:w="35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35</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 Распределение субъектов в области распределения и потребления электрической энергии по степеням риска осуществляется в результате соотношения масштаба и рода деятельности субъекта и категорированности потребителей в отношении наличия на их балансе электроприемников I категории, особой группы I категории, II, III категорий в отношении </w:t>
      </w:r>
      <w:r w:rsidRPr="00930F99">
        <w:rPr>
          <w:rFonts w:ascii="Arial" w:eastAsia="Times New Roman" w:hAnsi="Arial" w:cs="Arial"/>
          <w:sz w:val="20"/>
          <w:szCs w:val="20"/>
          <w:lang w:eastAsia="ru-RU"/>
        </w:rPr>
        <w:lastRenderedPageBreak/>
        <w:t>надежности электроснабжения. Категория в отношении надежности электроснабжения электроприемников предусматривается в контракте (договоре) на снабжение электроэнергией потребителей.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а) Электроприемники I категории - электроприемники, перерыв электроснабжения которых может повлечь за собой: опасность для жизни людей, значительный материальный ущерб народному хозяйству, повреждение дорогостоящего основного оборудования, массовый брак продукции, расстройство сложного технологического процесса, нарушение функционирования особо важных элементов коммунального хозяйства.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Из состава электроприемников I категории выделяется особая группа электроприемников,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б) Электроприемники II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 Электроприемники III категории - все остальные электроприемники, не подходящие под определение I и II категорий.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По результатам проведенных проверок осуществляется дальнейшее определение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а) при условии выполнения рекомендаций по устранению нарушений полностью, субъекты предпринимательства при проведении последующих проверок могут переходить из степени со средним риском в степень с незначительным риском;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б) при условии выполнения рекомендаций по устранению нарушений не полностью, субъекты предпринимательства при проведении последующих проверок могут переходить из степени с незначительным риском в степень со средним риском;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 результат проведенных проверок не влияет на степень риска субъектов, первоначально отнесенных к высокой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10. Определение степени риска субъектов при производстве, передаче, распределении и потреблении тепловой энергии: </w:t>
      </w:r>
    </w:p>
    <w:tbl>
      <w:tblPr>
        <w:tblW w:w="5000" w:type="pct"/>
        <w:tblCellMar>
          <w:left w:w="0" w:type="dxa"/>
          <w:right w:w="0" w:type="dxa"/>
        </w:tblCellMar>
        <w:tblLook w:val="04A0" w:firstRow="1" w:lastRow="0" w:firstColumn="1" w:lastColumn="0" w:noHBand="0" w:noVBand="1"/>
      </w:tblPr>
      <w:tblGrid>
        <w:gridCol w:w="361"/>
        <w:gridCol w:w="8374"/>
        <w:gridCol w:w="836"/>
      </w:tblGrid>
      <w:tr w:rsidR="00930F99" w:rsidRPr="00930F99" w:rsidTr="00930F99">
        <w:tc>
          <w:tcPr>
            <w:tcW w:w="1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N</w:t>
            </w:r>
          </w:p>
        </w:tc>
        <w:tc>
          <w:tcPr>
            <w:tcW w:w="43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Наименование критерия</w:t>
            </w:r>
          </w:p>
        </w:tc>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Баллы</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Степень возможного нанесения ущерба</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Тепловые электростанции</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Тепловые сети - магистральные трубопроводы, отходящие от тепловых электростанций</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1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Котельные:</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 водогрейными котлами, производительностью более 3 Гкал/час;</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 паровыми котлами, производительностью до 100 т/ч;</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 водогрейными котлами, производительностью менее 3 Гкал/час</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55</w:t>
            </w:r>
          </w:p>
        </w:tc>
      </w:tr>
      <w:tr w:rsidR="00930F99" w:rsidRPr="00930F99" w:rsidTr="00930F99">
        <w:tc>
          <w:tcPr>
            <w:tcW w:w="1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Крупные и средние промышленные предприятия:</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снабжающиеся от собственных котельных;</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имеющие теплоиспользующие установки, участвующие в технологическом процессе</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45</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Потребители</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Результаты проведенных проверок</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Рекомендации по устранению нарушений не выполнены</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Рекомендации по устранению нарушений выполнены частично</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43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Рекомендации по устранению нарушений выполнены полностью</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- 20</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По результатам проверок степень риска определяется путем суммирования или вычитания баллов, соответствующих степени возможного нанесения ущерба и результатам проведения проверок: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при условии выполнения рекомендаций по устранению нарушений полностью, субъекты предпринимательства, относящиеся первоначально к средней степени риска, при проведении последующих проверок переходят из степени со средним риском в степень с незначительным риском;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при условии невыполнения рекомендаций по устранению нарушений: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а) субъекты предпринимательства, относящиеся первоначально к средней степени риска, в случае выявления нарушения законодательства при последующей проверке переходят из степени со средним риском в степень с высоким риском;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б) субъекты предпринимательства, относящиеся первоначально к незначительной степени риска, в случае выявления нарушения законодательства при последующей проверке переходят из степени с незначительным риском в степень со средним риском.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Результаты проведенных проверок не влияют на степень риска субъектов, чья степень возможного нанесения ущерба оценивается более чем в 70 баллов.</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29" w:history="1">
        <w:r w:rsidRPr="00930F99">
          <w:rPr>
            <w:rFonts w:ascii="Arial" w:eastAsia="Times New Roman" w:hAnsi="Arial" w:cs="Arial"/>
            <w:i/>
            <w:iCs/>
            <w:color w:val="0000FF"/>
            <w:sz w:val="20"/>
            <w:szCs w:val="20"/>
            <w:u w:val="single"/>
            <w:lang w:eastAsia="ru-RU"/>
          </w:rPr>
          <w:t>19 декабря 2013 года N 681</w:t>
        </w:r>
      </w:hyperlink>
      <w:r w:rsidRPr="00930F99">
        <w:rPr>
          <w:rFonts w:ascii="Arial" w:eastAsia="Times New Roman" w:hAnsi="Arial" w:cs="Arial"/>
          <w:i/>
          <w:iCs/>
          <w:sz w:val="20"/>
          <w:szCs w:val="20"/>
          <w:lang w:eastAsia="ru-RU"/>
        </w:rPr>
        <w:t>)</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11. Определение степени риска на газотранспортных, газоснабжающих и использующих природный газ субъектах:</w:t>
      </w:r>
    </w:p>
    <w:tbl>
      <w:tblPr>
        <w:tblW w:w="5000" w:type="pct"/>
        <w:tblCellMar>
          <w:left w:w="0" w:type="dxa"/>
          <w:right w:w="0" w:type="dxa"/>
        </w:tblCellMar>
        <w:tblLook w:val="04A0" w:firstRow="1" w:lastRow="0" w:firstColumn="1" w:lastColumn="0" w:noHBand="0" w:noVBand="1"/>
      </w:tblPr>
      <w:tblGrid>
        <w:gridCol w:w="439"/>
        <w:gridCol w:w="8161"/>
        <w:gridCol w:w="971"/>
      </w:tblGrid>
      <w:tr w:rsidR="00930F99" w:rsidRPr="00930F99" w:rsidTr="00930F99">
        <w:tc>
          <w:tcPr>
            <w:tcW w:w="1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42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5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Сектор</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Газотранспортные и газоснабжающие предприятия:</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управления магистральных газопроводов (УМГ);</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управления газовых хозяйств (УГХ);</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автомобильные газонаполнительные компрессорные станции (АГНКС);</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компрессорные станции</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Промышленные предприятия: </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ртути и сурьмы;</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стекла;</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стройматериалов;</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металлоизделий;</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спирта;</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электроламп;</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76"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табачных изделий;</w:t>
            </w:r>
          </w:p>
        </w:tc>
        <w:tc>
          <w:tcPr>
            <w:tcW w:w="53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по производству пищевых продуктов</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Котельные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ОсОО и ЧП, использующие газ на производственные нужды</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ОсОО и ЧП, использующие газ на бытовые нужды</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Масштаб/объем производства или потребления газа</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10000 тыс. куб.м/год</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1000-10000 тыс. куб.м/год</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50-1000 тыс. куб.м/год</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50 тыс. куб.м/год</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Технические факторы</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Состояние оборудования:</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10</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Установлено новое оборудование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11</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Установлено изношенное оборудование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Узлы учета газа</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Установлены электронные узлы учета газа</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13</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Установлены промышленные газовые счетчики</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14</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Установлены бытовые газовые счетчики электронные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Установлены бытовые газовые счетчики обычные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Результаты проведенных проверок</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16</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Постоянные серьезные нарушения</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17</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Много нарушений, частично исправили</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18</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Много нарушений, все исправили</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19</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 все исправили</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c>
          <w:tcPr>
            <w:tcW w:w="429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Нет нарушений или новый объект</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4" w:name="g3"/>
      <w:bookmarkEnd w:id="4"/>
      <w:r w:rsidRPr="00930F99">
        <w:rPr>
          <w:rFonts w:ascii="Arial" w:eastAsia="Times New Roman" w:hAnsi="Arial" w:cs="Arial"/>
          <w:b/>
          <w:bCs/>
          <w:sz w:val="24"/>
          <w:szCs w:val="24"/>
          <w:lang w:eastAsia="ru-RU"/>
        </w:rPr>
        <w:t>Глава 3. Критерии оценки степени риска предпринимательской деятельности в сфере охраны окружающей среды, сохранения биоразнообразия, рационального природопользования, развития лесного и охотничьего хозяйства и обеспечения экологической безопасности государства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12. Степень риска в сфере охраны окружающей среды определяется в зависимости от объемов загрязнения окружающей природной среды, количества и видового состава вредных веществ, выбрасываемых в атмосферу, сбрасываемых на рельеф местности или в водные объекты, а также размещаемых отходов.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 зависимости от степени риска устанавливаются объем и содержание проектов нормирования природопользования, периодичность проведения проверок при осуществлении госконтроля за соблюдением природоохранного законодательства и установленных норм.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13. Для каждого субъекта определяется степень риска по выбросам, сбросам и размещению отходов. Степень риска субъекта в целом определяется по наивысшей степени риска из перечисленных видов загрязнений.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14. Степень риска субъектов предпринимательства, осуществляющих выбросы в атмосферу, определяются на основе категории опасности субъекта предпринимательства (КОП).</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15. Категория опасности субъектов предпринимательства, осуществляющих выбросы в атмосферу, рассчитывается по формуле:</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bl>
      <w:tblPr>
        <w:tblW w:w="0" w:type="auto"/>
        <w:tblCellMar>
          <w:left w:w="0" w:type="dxa"/>
          <w:right w:w="0" w:type="dxa"/>
        </w:tblCellMar>
        <w:tblLook w:val="04A0" w:firstRow="1" w:lastRow="0" w:firstColumn="1" w:lastColumn="0" w:noHBand="0" w:noVBand="1"/>
      </w:tblPr>
      <w:tblGrid>
        <w:gridCol w:w="1264"/>
        <w:gridCol w:w="350"/>
        <w:gridCol w:w="1423"/>
        <w:gridCol w:w="573"/>
      </w:tblGrid>
      <w:tr w:rsidR="00930F99" w:rsidRPr="00930F99" w:rsidTr="00930F99">
        <w:tc>
          <w:tcPr>
            <w:tcW w:w="0" w:type="auto"/>
            <w:noWrap/>
            <w:tcMar>
              <w:top w:w="0" w:type="dxa"/>
              <w:left w:w="567"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n</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right"/>
              <w:rPr>
                <w:rFonts w:ascii="Arial" w:eastAsia="Times New Roman" w:hAnsi="Arial" w:cs="Arial"/>
                <w:sz w:val="20"/>
                <w:szCs w:val="20"/>
                <w:lang w:eastAsia="ru-RU"/>
              </w:rPr>
            </w:pPr>
            <w:r w:rsidRPr="00930F99">
              <w:rPr>
                <w:rFonts w:ascii="Arial" w:eastAsia="Times New Roman" w:hAnsi="Arial" w:cs="Arial"/>
                <w:sz w:val="20"/>
                <w:szCs w:val="20"/>
                <w:lang w:eastAsia="ru-RU"/>
              </w:rPr>
              <w:t>ai</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0" w:type="auto"/>
            <w:noWrap/>
            <w:tcMar>
              <w:top w:w="0" w:type="dxa"/>
              <w:left w:w="567"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КОП =</w:t>
            </w:r>
          </w:p>
        </w:tc>
        <w:tc>
          <w:tcPr>
            <w:tcW w:w="0" w:type="auto"/>
            <w:tcMar>
              <w:top w:w="0" w:type="dxa"/>
              <w:left w:w="108"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E </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(Mi / ПДКcci),</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где:</w:t>
            </w:r>
          </w:p>
        </w:tc>
      </w:tr>
      <w:tr w:rsidR="00930F99" w:rsidRPr="00930F99" w:rsidTr="00930F99">
        <w:tc>
          <w:tcPr>
            <w:tcW w:w="0" w:type="auto"/>
            <w:noWrap/>
            <w:tcMar>
              <w:top w:w="0" w:type="dxa"/>
              <w:left w:w="567"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0" w:type="auto"/>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bl>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n - количество загрязняющих веществ, выбрасываемых субъектом хозяйственной и иной деятельности в атмосферу;</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Mi - масса выброса конкретного вещества, т/год;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ПДКcci - среднесуточная предельно допустимая концентрация конкретного загрязняющего вещества в атмосферном воздухе населенных мест, мг/куб.м;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ai - безразмерная константа.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Величина константы ai в зависимости от класса опасности загрязняющего вещества:</w:t>
      </w:r>
    </w:p>
    <w:tbl>
      <w:tblPr>
        <w:tblW w:w="5000" w:type="pct"/>
        <w:tblCellMar>
          <w:left w:w="0" w:type="dxa"/>
          <w:right w:w="0" w:type="dxa"/>
        </w:tblCellMar>
        <w:tblLook w:val="04A0" w:firstRow="1" w:lastRow="0" w:firstColumn="1" w:lastColumn="0" w:noHBand="0" w:noVBand="1"/>
      </w:tblPr>
      <w:tblGrid>
        <w:gridCol w:w="2099"/>
        <w:gridCol w:w="2408"/>
        <w:gridCol w:w="2621"/>
        <w:gridCol w:w="2443"/>
      </w:tblGrid>
      <w:tr w:rsidR="00930F99" w:rsidRPr="00930F99" w:rsidTr="00930F99">
        <w:tc>
          <w:tcPr>
            <w:tcW w:w="109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lastRenderedPageBreak/>
              <w:t>Константа</w:t>
            </w:r>
          </w:p>
        </w:tc>
        <w:tc>
          <w:tcPr>
            <w:tcW w:w="390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Класс опасности вещества</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25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 или 3</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r>
      <w:tr w:rsidR="00930F99" w:rsidRPr="00930F99" w:rsidTr="00930F99">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Ai</w:t>
            </w:r>
          </w:p>
        </w:tc>
        <w:tc>
          <w:tcPr>
            <w:tcW w:w="125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1,7</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0,8</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Значения КОП рассчитываются при условии, что Mi/ПДКcci 1.0.</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значениях Mi/ПДКcci &lt;= 1.0, значения КОП не рассчитываются и приравниваются к 0.</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отсутствии в справочной литературе значений среднесуточных предельно допустимых концентраций для атмосферного воздуха населенных мест используются значения максимально разовых ПДК или ОБУВ для атмосферного воздуха населенных мест или уменьшенные в 10 раз аналогичные значения для воздуха рабочей зоны.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отсутствии в справочной литературе класса опасности загрязняющего вещества для атмосферного воздуха населенных мест используются значения для воздуха рабочей зоны, при отсутствии обоих значений для класса опасности используется величина 3.</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Для загрязняющих веществ, по которым отсутствует информация о ПДК или ОБУВ, значения КОП приравниваются к массе выбросов данных веществ, т.е. ПДК принимается равным 1.0, а класс опасности - 3.</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Для загрязняющих веществ, являющихся озоноразрушающими веществами, регулируемыми Монреальским протоколом по веществам, разрушающим озоновый слой, ратифицированным Законом Кыргызской Республики "О ратификации Венской конвенции об охране озонового слоя и Монреальского протокола по веществам, разрушающим озоновый слой" (далее - Монреальский протокол), принимается ПДК = 1 / (ОРС х 1000), а класс опасности - равным 1, где ОРС - озоноразрушающая способность вещества по Монреальскому протоколу.</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16. Степень риска субъекта предпринимательства в зависимости от рассчитанной величины КОП:</w:t>
      </w:r>
    </w:p>
    <w:tbl>
      <w:tblPr>
        <w:tblW w:w="5000" w:type="pct"/>
        <w:tblCellMar>
          <w:left w:w="0" w:type="dxa"/>
          <w:right w:w="0" w:type="dxa"/>
        </w:tblCellMar>
        <w:tblLook w:val="04A0" w:firstRow="1" w:lastRow="0" w:firstColumn="1" w:lastColumn="0" w:noHBand="0" w:noVBand="1"/>
      </w:tblPr>
      <w:tblGrid>
        <w:gridCol w:w="4544"/>
        <w:gridCol w:w="3528"/>
        <w:gridCol w:w="1499"/>
      </w:tblGrid>
      <w:tr w:rsidR="00930F99" w:rsidRPr="00930F99" w:rsidTr="00930F99">
        <w:tc>
          <w:tcPr>
            <w:tcW w:w="2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Степень риска</w:t>
            </w:r>
          </w:p>
        </w:tc>
        <w:tc>
          <w:tcPr>
            <w:tcW w:w="18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Значения КОП</w:t>
            </w:r>
          </w:p>
        </w:tc>
        <w:tc>
          <w:tcPr>
            <w:tcW w:w="7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степень</w:t>
            </w:r>
          </w:p>
        </w:tc>
        <w:tc>
          <w:tcPr>
            <w:tcW w:w="184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КОП &gt;= 1000</w:t>
            </w:r>
          </w:p>
        </w:tc>
        <w:tc>
          <w:tcPr>
            <w:tcW w:w="7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Средняя степень</w:t>
            </w:r>
          </w:p>
        </w:tc>
        <w:tc>
          <w:tcPr>
            <w:tcW w:w="184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1000 &gt; КОП &gt;= 100</w:t>
            </w:r>
          </w:p>
        </w:tc>
        <w:tc>
          <w:tcPr>
            <w:tcW w:w="7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Незначительная степень</w:t>
            </w:r>
          </w:p>
        </w:tc>
        <w:tc>
          <w:tcPr>
            <w:tcW w:w="184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КОП &lt; 100</w:t>
            </w:r>
          </w:p>
        </w:tc>
        <w:tc>
          <w:tcPr>
            <w:tcW w:w="7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17. Степень риска субъектов предпринимательства, осуществляющих сброс сточных вод, устанавливается на основании характера деятельности в отношении сточных вод, а также их объемов.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18. К высокой степени риска (80 баллов) по сбросам относятся субъекты, для которых выполняется одно или несколько из следующих условий: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объекты хозяйственной или иной деятельности, осуществляющие сброс сточных вод в водные объекты, водохозяйственные сооружения или на рельеф местности (балки, овраги, котлованы, сухие русла рек и т.п.), или в коллекторно-дренажные системы, без прохождения очистных сооружений, за исключением условно чистых сточных вод;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объекты хозяйственной или иной деятельности, имеющие на своем балансе действующие хвостохранилища, шламохранилища и т.п.;</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объекты хозяйственной или иной деятельности, объем очищенных сточных вод которых равен или более усредненного объема сбрасываемых сточных вод с очистных сооружений малых городов в год, в куб.м.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19. К средней степени риска (50 баллов) по сбросам относятся субъекты, для которых выполняется одно или несколько из следующих условий: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 субъекты, осуществляющие сброс сточных вод в водные объекты, водохозяйственные сооружения или на рельеф местности (балки, овраги, котлованы, сухие русла рек и т.п.), или в коллекторно-дренажные системы, после прохождения очистных сооружений с объемом </w:t>
      </w:r>
      <w:r w:rsidRPr="00930F99">
        <w:rPr>
          <w:rFonts w:ascii="Arial" w:eastAsia="Times New Roman" w:hAnsi="Arial" w:cs="Arial"/>
          <w:sz w:val="20"/>
          <w:szCs w:val="20"/>
          <w:lang w:eastAsia="ru-RU"/>
        </w:rPr>
        <w:lastRenderedPageBreak/>
        <w:t>очищенных сточных вод менее усредненного объема сбрасываемых сточных вод с очистных сооружений малых городов в год, в куб.м;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субъекты хозяйственной или иной деятельности, осуществляющие сброс сточных вод в накопители, выгребные ямы, септики и т.д. с последующим вывозом на очистные сооружения.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20. К незначительной степени риска (25 баллов) по сбросам относятся субъекты, имеющие сточные воды, но передающие их другим объектам хозяйственной или иной деятельности.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21. Степень риска субъектов предпринимательства, деятельность которых приводит к образованию отходов, устанавливается на основании характера деятельности.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22. К высокой степени риска (80 баллов) по отходам относятся субъекты, для которых выполняется одно или несколько из следующих условий: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основной деятельностью является сбор, прием и/или переработка отходов от сторонних организаций;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имеются на балансе или осуществляется эксплуатация объектов захоронения и длительного хранения отходов (полигоны, шламо- и хвостохранилища, породные отвалы, отвалы бедных руд, золоотвалы и т.п.);</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количество образующихся отходов превышает 5 тыс.т для сельхозпредприятий и предприятий пищевой промышленности и более 300 т - для прочих предприятий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 в результате производственной деятельности образуются среди прочих отходы, имеющие класс опасности выше 3.</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23. К средней степени риска (50 баллов) по отходам относятся субъекты, для которых выполняется одно или несколько из следующих условий: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количество образующихся отходов превышает 1000 т, но менее или равно 5 тыс.т - для сельхозпредприятий и предприятий пищевой промышленности, для прочих - превышает 60 т, но менее или равно 300 т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в результате производственной деятельности образуются среди прочих отходы не выше 3 класса 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24. К незначительной степени риска (25 баллов) по отходам относятся субъекты, для которых выполняется одно или несколько из следующих условий: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количество образующихся отходов превышает 100 т, но менее или равно 1000 т для сельхозпредприятий и предприятий пищевой промышленности, для прочих - превышает 10 т, но менее или равно 60 т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в результате производственной деятельности образуются отходы ниже 4 класса 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25. Разрешительные документы на пользование объектами животного и растительного мира выдаются 1 раз в год, что требует проведения ежегодных контрольных проверок соответствия объемов, заложенных в разрешении фактически заготовленным объемам. Исходя из данного критерия все субъекты, являющиеся пользователями объектов животного мира (в т.ч. рыбные ресурсы) и растительного мира (в т.ч. лесные ресурсы), относятся к высокой степени риска (80 баллов).</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5" w:name="g4"/>
      <w:bookmarkEnd w:id="5"/>
      <w:r w:rsidRPr="00930F99">
        <w:rPr>
          <w:rFonts w:ascii="Arial" w:eastAsia="Times New Roman" w:hAnsi="Arial" w:cs="Arial"/>
          <w:b/>
          <w:bCs/>
          <w:sz w:val="24"/>
          <w:szCs w:val="24"/>
          <w:lang w:eastAsia="ru-RU"/>
        </w:rPr>
        <w:t>Глава 4. Критерии оценки степени риска предпринимательской деятельности в сфере антимонопольного и ценового регулирования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26. Критерии оценки степени риска предпринимательской деятельности в сфере антимонопольного и ценового регулирования:</w:t>
      </w:r>
    </w:p>
    <w:tbl>
      <w:tblPr>
        <w:tblW w:w="5000" w:type="pct"/>
        <w:tblCellMar>
          <w:left w:w="0" w:type="dxa"/>
          <w:right w:w="0" w:type="dxa"/>
        </w:tblCellMar>
        <w:tblLook w:val="04A0" w:firstRow="1" w:lastRow="0" w:firstColumn="1" w:lastColumn="0" w:noHBand="0" w:noVBand="1"/>
      </w:tblPr>
      <w:tblGrid>
        <w:gridCol w:w="454"/>
        <w:gridCol w:w="2789"/>
        <w:gridCol w:w="4617"/>
        <w:gridCol w:w="1711"/>
      </w:tblGrid>
      <w:tr w:rsidR="00930F99" w:rsidRPr="00930F99" w:rsidTr="00930F99">
        <w:tc>
          <w:tcPr>
            <w:tcW w:w="2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4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2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Состояние конкурентного рынка</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Естественные и разрешенные монополисты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Рынки и базары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Прочие состояния рынка</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2</w:t>
            </w:r>
          </w:p>
        </w:tc>
        <w:tc>
          <w:tcPr>
            <w:tcW w:w="14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Доходность</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Субъекты предпринимательства республиканского значения</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100000,0 тыс.сомов в год и выше</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5000,0 до 100000,0 тыс.сомов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5000,0 тыс.сомов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Субъекты предпринимательства регионального значения</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3000,0 тыс.сомов в год и выше</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1000,0 до 3000,0 тыс.сомов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1000,0 тыс.сомов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Социальная значимость</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Продукция (услуги), не имеющие заменителей</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Продукция (услуги), имеющие заменители</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Продукция (услуги), не являющиеся социально значимыми</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Цены (тарифы), регулируемые государством</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Регулируемые государством</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Временно регулируемые государством</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регулируемые государством</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Дискриминационные или исключительные условия</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Малая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Сговор (вертикальный и горизонтальный)</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Малая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Доминирующее положение на рынке</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Исторически сложившиеся за предыдущие периоды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Временно сложившиеся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имеющие такого положения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Вероятность злоупотребления доминирующим положением, а также антиконкурентные действия</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Малая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Порядок проведения закупок товаров, работ и услуг</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Регулируемые законодательством о государственных закупках</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регулируемые законодательством о государственных закупках</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Вероятность слияния, реорганизации, ликвидации и аффилированности лиц и сделок</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Малая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11</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Возможность потребителя в выборе товаров, работ и услуг</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Отсутствует возможность выбора</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Незначительный выбор</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Выбор неограничен</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Недобросовестная конкуренция</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Малая вероятность</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13</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выпускаемых видов товаров, работ и услуг</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и более</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14</w:t>
            </w:r>
          </w:p>
        </w:tc>
        <w:tc>
          <w:tcPr>
            <w:tcW w:w="145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жалоб и заявлений потребителей на качество, условия работ, услуг и товаров</w:t>
            </w: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Систематические жалобы, более 2-х жалоб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более 1-2 жалоб в год</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Отсутствуют жалобы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6" w:name="g5"/>
      <w:bookmarkEnd w:id="6"/>
      <w:r w:rsidRPr="00930F99">
        <w:rPr>
          <w:rFonts w:ascii="Arial" w:eastAsia="Times New Roman" w:hAnsi="Arial" w:cs="Arial"/>
          <w:b/>
          <w:bCs/>
          <w:sz w:val="24"/>
          <w:szCs w:val="24"/>
          <w:lang w:eastAsia="ru-RU"/>
        </w:rPr>
        <w:t>Глава 5. Критерии оценки степени риска предпринимательской деятельности в сфере производства и оборота этилового спирта, алкогольной и спиртосодержащей продукции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27. Критерии оценки степени риска предпринимательской деятельности в сфере производства и оборота этилового спирта, алкогольной и спиртосодержащей продукции:</w:t>
      </w:r>
    </w:p>
    <w:tbl>
      <w:tblPr>
        <w:tblW w:w="5000" w:type="pct"/>
        <w:tblCellMar>
          <w:left w:w="0" w:type="dxa"/>
          <w:right w:w="0" w:type="dxa"/>
        </w:tblCellMar>
        <w:tblLook w:val="04A0" w:firstRow="1" w:lastRow="0" w:firstColumn="1" w:lastColumn="0" w:noHBand="0" w:noVBand="1"/>
      </w:tblPr>
      <w:tblGrid>
        <w:gridCol w:w="430"/>
        <w:gridCol w:w="2761"/>
        <w:gridCol w:w="4625"/>
        <w:gridCol w:w="1755"/>
      </w:tblGrid>
      <w:tr w:rsidR="00930F99" w:rsidRPr="00930F99" w:rsidTr="00930F99">
        <w:tc>
          <w:tcPr>
            <w:tcW w:w="2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24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9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before="120" w:after="12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Давность получения лицензии, а также наличие факта продления лицензии</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Меньше 3 месяцев, лицензия получена впервые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4 месяцев до 1 года, лицензия получена впервые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Свыше 1 года, если лицензия получена впервые; любой срок, если лицензия продлевалась</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Дислокация торгового объекта</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 окраине населенного пункта либо на второстепенной улице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 центральной улице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Данные органов финансовой полиции и органов внутренних дел по фактам реализации алкогольной продукции лицам, не достигшим 18 лет, полученные на основе соглашений об обмене информацией</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Привлечение к административной ответственности 2 и более раз</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Привлечение к административной ответственности 1 раз</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Нарушений не было</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Населенный пункт, где расположен торговый объект</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Село</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14</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Города, за исключением города Бишкек</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Город Бишкек</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Уровень жизни населения в районе расположения торгового объекта</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Низкий</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18</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Средний </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Высокий</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Реализация в радиусе менее 100 м от детских дошкольных или образовательных организаций и на прилегающих к ним </w:t>
            </w:r>
            <w:r w:rsidRPr="00930F99">
              <w:rPr>
                <w:rFonts w:ascii="Arial" w:eastAsia="Times New Roman" w:hAnsi="Arial" w:cs="Arial"/>
                <w:sz w:val="20"/>
                <w:szCs w:val="20"/>
                <w:lang w:eastAsia="ru-RU"/>
              </w:rPr>
              <w:lastRenderedPageBreak/>
              <w:t>территориях (при условии, что лицензия была выдана до появления в радиусе менее 100 м от торгового объекта нового детского дошкольного или школьного учреждения)</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Да</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Нет</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7</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Расположение на торговых площадях, благоприятствующих реализации алкогольной продукции с нарушением законодательства</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Рынок</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районе с низкой плотностью размещения торговых объектов</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Масштабы торговли</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Оптовая торговля</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13</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Розничная торговля</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2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144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История нарушений по внеплановым проверкам</w:t>
            </w: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Применялись меры уголовного взыскания</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Применялись меры административного взыскания</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1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Нарушений не было</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7" w:name="g6"/>
      <w:bookmarkEnd w:id="7"/>
      <w:r w:rsidRPr="00930F99">
        <w:rPr>
          <w:rFonts w:ascii="Arial" w:eastAsia="Times New Roman" w:hAnsi="Arial" w:cs="Arial"/>
          <w:b/>
          <w:bCs/>
          <w:sz w:val="24"/>
          <w:szCs w:val="24"/>
          <w:lang w:eastAsia="ru-RU"/>
        </w:rPr>
        <w:t>Глава 6. Критерии оценки степени риска предпринимательской деятельности в области связи</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28. Критерии оценки степени риска предпринимательской деятельности в области электрической связи и передачи данных, включая использование радиочастотного спектра:</w:t>
      </w:r>
    </w:p>
    <w:tbl>
      <w:tblPr>
        <w:tblW w:w="5000" w:type="pct"/>
        <w:tblCellMar>
          <w:left w:w="0" w:type="dxa"/>
          <w:right w:w="0" w:type="dxa"/>
        </w:tblCellMar>
        <w:tblLook w:val="04A0" w:firstRow="1" w:lastRow="0" w:firstColumn="1" w:lastColumn="0" w:noHBand="0" w:noVBand="1"/>
      </w:tblPr>
      <w:tblGrid>
        <w:gridCol w:w="365"/>
        <w:gridCol w:w="2494"/>
        <w:gridCol w:w="2521"/>
        <w:gridCol w:w="2240"/>
        <w:gridCol w:w="1951"/>
      </w:tblGrid>
      <w:tr w:rsidR="00930F99" w:rsidRPr="00930F99" w:rsidTr="00930F99">
        <w:tc>
          <w:tcPr>
            <w:tcW w:w="19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30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5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12 баллов</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6 баллов</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2 балла</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Географическая среда по условиям лицензионных соглашений (заявленная лицензиатом)</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Вся территория Кыргызской Республики, включая города республиканского значения (Бишкек, Ош) и/или в 2-х и более областях</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областного значения и/или прилегающие к нему районы области</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районного значения и/или прилегающие к нему районы</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собственной сети электросвязи (телекоммуникационной инфраструктуры)</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сети оператора: в одном из городов республиканского значения (Бишкек, Ош) и/или в 2-х и более областях</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 территории 1 города областного значения и/или 1 области</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пределах одной административно-территориальной единицы или одного структурно-территориального подразделения города</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Использование радиочастотного спектра</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Эксплуатация радиорелейных станций, земных станций спутниковой связи, базовых станций</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Используются абонентские точки радиодоступа (WiFi)</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используется</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абонентов, заключающих договоры</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&gt;= 10000</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1-9999</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Выделенный ресурс нумерации</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&gt;= 100000</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10000-99999</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&lt; 9999</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Использование кодов сети связи</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международного и национального кодов пунктов сигнализаций</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национального кода пунктов сигнализаций</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используется</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Межсетевое соединение</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Соединение с внешними операторами и с операторами связи Кыргызской Республики</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Соединение с операторами Кыргызской Республики</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Присоединение на уровне абонентской установки</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условий лицензионного соглашения и действующего законодательства по итогам проверки</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&gt;= 75%</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от 26% до 74%</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до 25%</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29. Критерии оценки степени риска субъектов предпринимательства, оказывающих услуги почтовой связи:</w:t>
      </w:r>
    </w:p>
    <w:tbl>
      <w:tblPr>
        <w:tblW w:w="5000" w:type="pct"/>
        <w:tblCellMar>
          <w:left w:w="0" w:type="dxa"/>
          <w:right w:w="0" w:type="dxa"/>
        </w:tblCellMar>
        <w:tblLook w:val="04A0" w:firstRow="1" w:lastRow="0" w:firstColumn="1" w:lastColumn="0" w:noHBand="0" w:noVBand="1"/>
      </w:tblPr>
      <w:tblGrid>
        <w:gridCol w:w="368"/>
        <w:gridCol w:w="2209"/>
        <w:gridCol w:w="2427"/>
        <w:gridCol w:w="2559"/>
        <w:gridCol w:w="2008"/>
      </w:tblGrid>
      <w:tr w:rsidR="00930F99" w:rsidRPr="00930F99" w:rsidTr="00930F99">
        <w:tc>
          <w:tcPr>
            <w:tcW w:w="19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1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6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25 баллов</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15 баллов</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5 баллов</w:t>
            </w:r>
          </w:p>
        </w:tc>
      </w:tr>
      <w:tr w:rsidR="00930F99" w:rsidRPr="00930F99" w:rsidTr="00930F99">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Географическая среда по условиям лицензионных соглашений (заявленная лицензиатом)</w:t>
            </w: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Вся территория Кыргызской Республики, включая города республиканского значения</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областного значения и/или прилегающие к нему районы области</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районного значения и/или прилегающие к нему районы</w:t>
            </w:r>
          </w:p>
        </w:tc>
      </w:tr>
      <w:tr w:rsidR="00930F99" w:rsidRPr="00930F99" w:rsidTr="00930F99">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собственной сети почтовой связи</w:t>
            </w: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Сеть почтовой связи по всей территории Кыргызской Республики</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сети оператора: в одном из городов республиканского значения (Бишкек, Ош) и/или в 2-х и более областях. На территории 1 города областного значения и/или 1 области</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имеет</w:t>
            </w:r>
          </w:p>
        </w:tc>
      </w:tr>
      <w:tr w:rsidR="00930F99" w:rsidRPr="00930F99" w:rsidTr="00930F99">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Почтовые отправления</w:t>
            </w: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Письменная корреспонденция, денежные переводы, периодические издания, посылки, бандероли, почтовые контейнеры</w:t>
            </w:r>
          </w:p>
        </w:tc>
        <w:tc>
          <w:tcPr>
            <w:tcW w:w="238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Письменная корреспонденция, посылки, бандероли, почтовые контейнеры (2 балла)</w:t>
            </w:r>
          </w:p>
        </w:tc>
      </w:tr>
      <w:tr w:rsidR="00930F99" w:rsidRPr="00930F99" w:rsidTr="00930F99">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15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условий лицензионного соглашения и действующего законодательства по итогам проверки</w:t>
            </w: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&gt;= 75%</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от 26% до 74%</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до 25%</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30. Критерии оценки степени риска при проведении проверок субъектов предпринимательства, оказывающих услуги по теле- и радиовещанию:</w:t>
      </w:r>
    </w:p>
    <w:tbl>
      <w:tblPr>
        <w:tblW w:w="5000" w:type="pct"/>
        <w:tblCellMar>
          <w:left w:w="0" w:type="dxa"/>
          <w:right w:w="0" w:type="dxa"/>
        </w:tblCellMar>
        <w:tblLook w:val="04A0" w:firstRow="1" w:lastRow="0" w:firstColumn="1" w:lastColumn="0" w:noHBand="0" w:noVBand="1"/>
      </w:tblPr>
      <w:tblGrid>
        <w:gridCol w:w="366"/>
        <w:gridCol w:w="2488"/>
        <w:gridCol w:w="2456"/>
        <w:gridCol w:w="2060"/>
        <w:gridCol w:w="2201"/>
      </w:tblGrid>
      <w:tr w:rsidR="00930F99" w:rsidRPr="00930F99" w:rsidTr="00930F99">
        <w:tc>
          <w:tcPr>
            <w:tcW w:w="19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50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20 баллов</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8 баллов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 балл</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Географическая среда по условиям лицензионных соглашений (заявленная лицензиатом)</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Вся территория Кыргызской Республики, включая города республиканского значения</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областного значения и/или прилегающие к нему районы области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Территория 1 города районного значения и/или прилегающие к нему районы</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Зона охвата</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одном из городов республиканского значения (Бишкек, Ош) и/или в 2-х и более областях</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 территории 1 города областного значения и/или 1 области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пределах одной административно-территориальной единицы</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Использование радиочастотного спектра</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Используется</w:t>
            </w:r>
          </w:p>
        </w:tc>
        <w:tc>
          <w:tcPr>
            <w:tcW w:w="222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используется (2 балла)</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фактов девиации частоты</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&gt;= 8 случаев в месяц</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4 до 7 случаев в месяц</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3 случаев в месяц</w:t>
            </w:r>
          </w:p>
        </w:tc>
      </w:tr>
      <w:tr w:rsidR="00930F99" w:rsidRPr="00930F99" w:rsidTr="00930F99">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условий лицензионного соглашения и действующего законодательства по итогам проверки</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&gt;= 75%</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от 26% до 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Процент нарушений до 25%</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8" w:name="g7"/>
      <w:bookmarkEnd w:id="8"/>
      <w:r w:rsidRPr="00930F99">
        <w:rPr>
          <w:rFonts w:ascii="Arial" w:eastAsia="Times New Roman" w:hAnsi="Arial" w:cs="Arial"/>
          <w:b/>
          <w:bCs/>
          <w:sz w:val="24"/>
          <w:szCs w:val="24"/>
          <w:lang w:eastAsia="ru-RU"/>
        </w:rPr>
        <w:t>Глава 7. Критерии оценки степени риска предпринимательской деятельности в сфере государственного социального страхования</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31. Критерии оценки степени риска предпринимательской деятельности в сфере государственного социального страхования:</w:t>
      </w:r>
    </w:p>
    <w:tbl>
      <w:tblPr>
        <w:tblW w:w="5000" w:type="pct"/>
        <w:tblCellMar>
          <w:left w:w="0" w:type="dxa"/>
          <w:right w:w="0" w:type="dxa"/>
        </w:tblCellMar>
        <w:tblLook w:val="04A0" w:firstRow="1" w:lastRow="0" w:firstColumn="1" w:lastColumn="0" w:noHBand="0" w:noVBand="1"/>
      </w:tblPr>
      <w:tblGrid>
        <w:gridCol w:w="429"/>
        <w:gridCol w:w="7718"/>
        <w:gridCol w:w="1424"/>
      </w:tblGrid>
      <w:tr w:rsidR="00930F99" w:rsidRPr="00930F99" w:rsidTr="00930F99">
        <w:tc>
          <w:tcPr>
            <w:tcW w:w="425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Высокая степень риска</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Нарушение сроков уплаты страховых взносов (более 2-х раз за календарный год)</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просроченной задолженности по страховым взносам более одного месяца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75</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Предоставление отчетов с нулевым начислением заработной платы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Сокрытие фактического количества работников, задействованных в осуществлении деятельности субъекта предпринимательства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Занижение суммы оплаты труда на одного работника по соответствующей отрасли субъектов предпринимательства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75</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Сокрытие суммы оплаты труда, путем выплат под видом "материальная помощь", "вознаграждение" или "командировочные"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Несоответствие данных налоговой отчетности по подоходному налогу и отчетности по государственному социальному страхованию по заработной плате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Ликвидация, переезд или переименование субъекта предпринимательства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9</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Увеличение текучести работников организаций и предприятий</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bl>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429"/>
        <w:gridCol w:w="7718"/>
        <w:gridCol w:w="1424"/>
      </w:tblGrid>
      <w:tr w:rsidR="00930F99" w:rsidRPr="00930F99" w:rsidTr="00930F99">
        <w:tc>
          <w:tcPr>
            <w:tcW w:w="425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Средняя степень риска</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Предоставление отчетности по государственному социальному страхованию в срок, но наличие задолженности по страховым взносам более 2-х месяцев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наличия плановой проверки более 3-х лет субъектов предпринимательства, имеющих задолженности по страховым взносам</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Неправильное составление месячных и годовых отчетов (сообщений о заработной плате и занятости), отсутствие каких-либо обязательных реквизитов, недостоверность представленных в сообщении сведений</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60</w:t>
            </w:r>
          </w:p>
        </w:tc>
      </w:tr>
    </w:tbl>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429"/>
        <w:gridCol w:w="7718"/>
        <w:gridCol w:w="1424"/>
      </w:tblGrid>
      <w:tr w:rsidR="00930F99" w:rsidRPr="00930F99" w:rsidTr="00930F99">
        <w:tc>
          <w:tcPr>
            <w:tcW w:w="425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Незначительная степень риска</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Учреждения банков, не имеющие задолженности по страховым взносам</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403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Субъекты предпринимательства, имеющие ежемесячно (за последние три месяца) переплату по страховым взносам</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устранении или при возникновении вышеуказанных критериев риска субъект предпринимательства перемещается из одной степени риска в другую.</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9" w:name="g8"/>
      <w:bookmarkEnd w:id="9"/>
      <w:r w:rsidRPr="00930F99">
        <w:rPr>
          <w:rFonts w:ascii="Arial" w:eastAsia="Times New Roman" w:hAnsi="Arial" w:cs="Arial"/>
          <w:b/>
          <w:bCs/>
          <w:sz w:val="24"/>
          <w:szCs w:val="24"/>
          <w:lang w:eastAsia="ru-RU"/>
        </w:rPr>
        <w:t>Глава 8. Критерии оценки степени риска предпринимательской деятельности в области оказания лекарственной помощи населению Кыргызской Республики</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32. Критерии оценки степени риска предпринимательской деятельности в области оказания лекарственной помощи населению Кыргызской Республики:</w:t>
      </w:r>
    </w:p>
    <w:tbl>
      <w:tblPr>
        <w:tblW w:w="5000" w:type="pct"/>
        <w:tblCellMar>
          <w:left w:w="0" w:type="dxa"/>
          <w:right w:w="0" w:type="dxa"/>
        </w:tblCellMar>
        <w:tblLook w:val="04A0" w:firstRow="1" w:lastRow="0" w:firstColumn="1" w:lastColumn="0" w:noHBand="0" w:noVBand="1"/>
      </w:tblPr>
      <w:tblGrid>
        <w:gridCol w:w="514"/>
        <w:gridCol w:w="2086"/>
        <w:gridCol w:w="5708"/>
        <w:gridCol w:w="1263"/>
      </w:tblGrid>
      <w:tr w:rsidR="00930F99" w:rsidRPr="00930F99" w:rsidTr="00930F99">
        <w:tc>
          <w:tcPr>
            <w:tcW w:w="2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0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Объект</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Фармацевтический завод/производство/цех/линия, аптека с правом изготовления лекарственных средств, аптека лечебно-профилактической организации; оптовый склад</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Аптека, аптечный пункт</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Магазин оптики и медицинской техники, аптечный киоск</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Функциональное назначение фармацевтического объекта/вид процесса</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Разработка, производство лекарственных средств, изготовление лекарственных средств и изделий медицинского назначения, транспортировка, оптовая реализация, хранение, уничтожение лекарственных средств, изделий медицинского назначения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Розничная реализация лекарственных средств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Розничная реализация изделий медицинского назначения, мелкорозничная реализация лекарственных средств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Масштаб/объем деятельности</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Фармацевтическая организация (производство, оптовый склад) обслуживает всю территорию Кыргызской Республики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Фармацевтическая организация (производство, оптовый склад, аптека) обслуживает территорию области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Фармацевтическая организация (оптовый склад, аптека, </w:t>
            </w:r>
            <w:r w:rsidRPr="00930F99">
              <w:rPr>
                <w:rFonts w:ascii="Arial" w:eastAsia="Times New Roman" w:hAnsi="Arial" w:cs="Arial"/>
                <w:sz w:val="20"/>
                <w:szCs w:val="20"/>
                <w:lang w:eastAsia="ru-RU"/>
              </w:rPr>
              <w:lastRenderedPageBreak/>
              <w:t>аптека ЛПО) обслуживает территорию города/села</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Аптечный пункт, аптечный киоск обслуживает территорию города/села</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История объекта/статистика нарушений законодательства</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совершенные повторно в течение года после наложения административного взыскания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Неустранение нарушений лицензионных требований, повлекших привлечение к административной ответственности по истечении срока приостановления действия лицензии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Выявлено много нарушений, но они были исправлены частично в установленные сроки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 устраненные в установленные сроки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Оценка объекта по соблюдению лицензионных требований</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Несоответствие составов, размеров помещений и оборудования объекта требованиям Технического регламента "О безопасности лекарственных средств для медицинского применения"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Оценка фармацевтической организации по соблюдению порядка отпуска лекарственных средств населению, а также по соблюдению правил обращения с веществами, подлежащими национальному контролю</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Фармацевтическая организация осуществляет производство/изготовление/реализацию лекарственных средств, содержащих наркотические средства, психотропные вещества, ядовитые вещества, лекарственные средства списка А</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Фармацевтическая организация осуществляет производство/изготовление/реализацию сильнодействующих лекарственных средств, лекарственных средств списка Б</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Реализация лекарственных средств рецептурного отпуска без рецепта врача</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2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Маркировка, упаковка лекарственных средств и изделий медицинского назначения</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требований по маркировке, упаковке лекарственных средств, изделий медицинского назначения, наличию листков-вкладышей, инструкций по применению лекарственных средств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Оценка лекарственных средств по физико-химическим свойствам</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Закуп, хранение, применение, реализация лекарственных средств, обладающих огнеопасными и взрывоопасными свойствами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val="ky-KG" w:eastAsia="ru-RU"/>
              </w:rPr>
              <w:t>Закуп, хранение, применение, реализация кислородных баллонов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Закуп, хранение, применение, реализация лекарственных средств, требующих защиты от света, влаги, содержащих летучие вещества, требующих защиты от пониженной температуры и т.д.</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Риски, связанные с организацией транспортировки, хранения, уничтожения </w:t>
            </w:r>
            <w:r w:rsidRPr="00930F99">
              <w:rPr>
                <w:rFonts w:ascii="Arial" w:eastAsia="Times New Roman" w:hAnsi="Arial" w:cs="Arial"/>
                <w:sz w:val="20"/>
                <w:szCs w:val="20"/>
                <w:lang w:eastAsia="ru-RU"/>
              </w:rPr>
              <w:lastRenderedPageBreak/>
              <w:t>лекарственных средств и изделий медицинского назначения</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Нарушение условий хранения, транспортировки, уничтожения лекарственных средств, изделий медицинского назначения и медицинской техники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Хранение, реализация, применение лекарственных средств, изделий медицинского назначения и </w:t>
            </w:r>
            <w:r w:rsidRPr="00930F99">
              <w:rPr>
                <w:rFonts w:ascii="Arial" w:eastAsia="Times New Roman" w:hAnsi="Arial" w:cs="Arial"/>
                <w:sz w:val="20"/>
                <w:szCs w:val="20"/>
                <w:lang w:eastAsia="ru-RU"/>
              </w:rPr>
              <w:lastRenderedPageBreak/>
              <w:t>медицинской техники с истекшим сроком годности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Ненадлежащее устройство, оборудование и эксплуатация помещений, предназначенных для хранения лекарственных средств и изделий медицинского назначения (стеллажи, поддоны, вентиляция, освещение, техническая укрепленность и т.д.)</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Риски, связанные с организацией санитарного режима фармацевтических организаций</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Несоответствие систем водоснабжения, канализации, отопления, вентиляции и кондиционирования санитарно-гигиеническим и противоэпидемическим требованиям</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асептических условий производства и изготовления стерильных лекарственных средств, изделий медицинского назначения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персоналом фармацевтических организаций санитарно-гигиенических требований</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11</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Риски, связанные с качеством лекарственных средств</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Закуп, хранение, реализация, применение несертифицированных лекарственных средств, изделий медицинского назначения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Производство, закуп, хранение, реклама, реализация, применение незарегистрированных в Кыргызской Республике лекарственных средств, изделий медицинского назначения</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Закуп, хранение, реализация, применение некачественных и фальсифицированных препаратов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2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93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Квалификация фармацевтических работников объекта</w:t>
            </w: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Несоответствие квалификационным требованиям в части образования, стажа работы специалистов с фармацевтическим образованием</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Непрохождение аттестации на соответствие занимаемой должности</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8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Непрохождение курсов повышения квалификации специалистов</w:t>
            </w:r>
          </w:p>
        </w:tc>
        <w:tc>
          <w:tcPr>
            <w:tcW w:w="71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val="ky-KG" w:eastAsia="ru-RU"/>
              </w:rPr>
              <w:t>3</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33. Отнесение субъектов предпринимательства, осуществляющих деятельность по производству, изготовлению и реализации лекарственных средств и изделий медицинского назначения, к различным степеням риска осуществляется путем первичного и последующего распределения.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Первичное отнесение субъектов предпринимательства, осуществляющих деятельность по производству, изготовлению и реализации лекарственных средств и изделий медицинского назначения, к различным группам степеней рисков осуществляется с учетом базовых критериев (критерии 1-4).</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Последующее отнесение субъектов предпринимательства, осуществляющих деятельность по производству, изготовлению и реализации лекарственных средств и изделий медицинского назначения, к различным группам степеней рисков осуществляется с учетом специфических/субъективных критериев (критерии 5-12).</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Основанием для приоритетного планирования проведения проверок субъектов внутри одной степени риска являются: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наибольшая сумма присвоенных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наибольший непроверенный период, в том числе непроведение проверки с момента получения государственной лицензии на осуществление деятельности по производству, изготовлению и реализации лекарственных средств и изделий медицинского назначения.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34. Определение степени риска субъектов предпринимательства, осуществляющих деятельность по производству, изготовлению и реализации лекарственных средств и изделий </w:t>
      </w:r>
      <w:r w:rsidRPr="00930F99">
        <w:rPr>
          <w:rFonts w:ascii="Arial" w:eastAsia="Times New Roman" w:hAnsi="Arial" w:cs="Arial"/>
          <w:sz w:val="20"/>
          <w:szCs w:val="20"/>
          <w:lang w:eastAsia="ru-RU"/>
        </w:rPr>
        <w:lastRenderedPageBreak/>
        <w:t>медицинского назначения, для установления периодичности проверки осуществляется специалистом фармацевтической инспекции Департамента лекарственного обеспечения и медицинской техники при Министерстве здравоохранения Кыргызской Республики в соответствии с настоящей главой.</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0" w:name="g9"/>
      <w:bookmarkEnd w:id="10"/>
      <w:r w:rsidRPr="00930F99">
        <w:rPr>
          <w:rFonts w:ascii="Arial" w:eastAsia="Times New Roman" w:hAnsi="Arial" w:cs="Arial"/>
          <w:b/>
          <w:bCs/>
          <w:sz w:val="24"/>
          <w:szCs w:val="24"/>
          <w:lang w:eastAsia="ru-RU"/>
        </w:rPr>
        <w:t>Глава 9. Критерии оценки степени риска предпринимательской деятельности</w:t>
      </w:r>
      <w:r w:rsidRPr="00930F99">
        <w:rPr>
          <w:rFonts w:ascii="Arial" w:eastAsia="Times New Roman" w:hAnsi="Arial" w:cs="Arial"/>
          <w:b/>
          <w:bCs/>
          <w:sz w:val="24"/>
          <w:szCs w:val="24"/>
          <w:lang w:eastAsia="ru-RU"/>
        </w:rPr>
        <w:br/>
        <w:t>в области обеспечения санитарно-эпидемиологического благополучия</w:t>
      </w:r>
      <w:r w:rsidRPr="00930F99">
        <w:rPr>
          <w:rFonts w:ascii="Arial" w:eastAsia="Times New Roman" w:hAnsi="Arial" w:cs="Arial"/>
          <w:b/>
          <w:bCs/>
          <w:sz w:val="24"/>
          <w:szCs w:val="24"/>
          <w:lang w:eastAsia="ru-RU"/>
        </w:rPr>
        <w:br/>
        <w:t>населения Кыргызской Республики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35. Степень риска субъекта проверки в области санитарно-эпидемиологического благополучия отражает вероятность негативного воздействия его деятельности на жизнь и здоровье человека.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До проведения первой проверки субъекту предпринимательства присваивается первичная (отраслевая) степень риска согласно виду деятельности, которым он занимается.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Виды деятельности, относящиеся к высокой степени санитарно-эпидемиологического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подлежащие проверкам не более двух раз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переработка продовольственного сырья, производство пищевых продуктов, за исключением видов деятельности, подлежащих проверкам не более одного раза в год и не более одного раза в два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продуктов для детей;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водоснабжения;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медицинских услуг с парентеральным вмешательством;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коммунально-бытового водопользования;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подлежащие проверкам не более одного раза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перевозка, хранение, реализация пищевых продуктов;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хлебопекарное производство;</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макаронных изделий;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добавок;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овощеперерабатывающая промышленность;</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спиртовой и ликероводочной продукции;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предоставление лечебно-оздоровительных услуг;</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хранение и реализация товаров для детей, за исключением производства пищевых продуктов для детей;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дошкольного, школьного образования с организацией питания;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коммунально-бытового обслуживания;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подлежащие проверке не более одного раза в два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крахмалопаточное производство;</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масложировых изделий;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чайная промышленность;</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желатиновое и дрожжевое производство;</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концентратов;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средств гигиены, парфюмерно-косметических средств;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торгово-рыночных комплексов, за исключением реализации продуктов питания;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горнорудная промышленность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и переработка химических веществ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услуги интернет-клубов (уровень электромагнитного излучения);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услуги гостиниц.</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Виды деятельности, относящиеся к средней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подлежащие проверке не более одного раза в три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медицинских услуг без парентерального вмешательства;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образовательных услуг, не отнесенных к высокой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подлежащие проверке не более одного раза в четыре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хранение и реализация средств гигиены, парфюмерно-косметических средств;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тяжелая промышленность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строительство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услуги по обслуживанию и ремонту транспорта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торговля товарами народного потребления, строительными материалами, мебельной продукцией.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Виды деятельности, относящиеся к незначительной степени риска, подлежащие проверке не более одного раза в пять лет:</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товаров народного потребления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спортивного назначения;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культурно-просветительского назначения, развлечения и массового посещения;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легкая промышленность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энергетика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связь (безопасность условий труда);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сельское хозяйство (безопасность условий труда).</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0"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36. По результатам проверок субъекту присваивается индивидуальная степень риска (ИСР), которая рассчитывается путем суммирования баллов, присваиваемых субъекту по следующим критериям риска: (ИТЗ) оценка исполнения требований законодательства, (МД) масштаб деятельности, (РП) результаты предыдущих проверок (ИСР = ИТЗ + МД + РП).</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1"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36-1. Оценка исполнения субъектом требований законодательства (ИТЗ) определяется по результатам применения проверочных листов.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Вопросы в проверочных листах группируются в зависимости от включенных в них требований: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группа "А" - вопросы, содержащие требования, неисполнение которых непосредственно влечет/создает прямую угрозу безопасности жизни и здоровья человека;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группа "Б" - вопросы, содержащие требования, неисполнение которых непосредственно не создает прямую угрозу безопасности жизни и здоровья человека.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Определение баллов по результатам оценки исполнения требований законодательства:</w:t>
      </w:r>
    </w:p>
    <w:tbl>
      <w:tblPr>
        <w:tblW w:w="5000" w:type="pct"/>
        <w:tblCellMar>
          <w:left w:w="0" w:type="dxa"/>
          <w:right w:w="0" w:type="dxa"/>
        </w:tblCellMar>
        <w:tblLook w:val="04A0" w:firstRow="1" w:lastRow="0" w:firstColumn="1" w:lastColumn="0" w:noHBand="0" w:noVBand="1"/>
      </w:tblPr>
      <w:tblGrid>
        <w:gridCol w:w="439"/>
        <w:gridCol w:w="5252"/>
        <w:gridCol w:w="2984"/>
        <w:gridCol w:w="896"/>
      </w:tblGrid>
      <w:tr w:rsidR="00930F99" w:rsidRPr="00930F99" w:rsidTr="00930F99">
        <w:tc>
          <w:tcPr>
            <w:tcW w:w="1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w:t>
            </w:r>
          </w:p>
        </w:tc>
        <w:tc>
          <w:tcPr>
            <w:tcW w:w="28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деятельности</w:t>
            </w:r>
          </w:p>
        </w:tc>
        <w:tc>
          <w:tcPr>
            <w:tcW w:w="16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Результаты оценки (количество несоответствий, выявленных в ходе плановых проверок)</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деятельности, относящиеся к высокой степени риска</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подлежащие проверкам не более двух раз в год:</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 переработка продовольственного сырья, производство пищевых продуктов, за исключением </w:t>
            </w:r>
            <w:r w:rsidRPr="00930F99">
              <w:rPr>
                <w:rFonts w:ascii="Arial" w:eastAsia="Times New Roman" w:hAnsi="Arial" w:cs="Arial"/>
                <w:sz w:val="20"/>
                <w:szCs w:val="20"/>
                <w:lang w:eastAsia="ru-RU"/>
              </w:rPr>
              <w:lastRenderedPageBreak/>
              <w:t>видов деятельности, подлежащих проверкам не более одного раза в год и не более одного раза в два года;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продуктов для детей;</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водоснабжения;</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медицинских услуг с парентеральным вмешательством;</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коммунально-бытового водопользования</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1 и более несоответствий в группе "А" проверочного листа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либо более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100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подлежащие проверкам не более одного раза в год:</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перевозка, хранение, реализация пищевых продуктов;</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хлебопекарное производство;</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макаронных изделий;</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добавок;</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овощеперерабатывающая промышленность;</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спиртовой и ликероводочной продукции;</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предоставление лечебно-оздоровительных услуг;</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хранение и реализация товаров для детей, за исключением производства пищевых продуктов для детей;</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дошкольного, школьного образования с организацией питания;</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услуг коммунально-бытового обслуживания</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 более несоответствий в группе "А" проверочного листа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либо более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 до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81</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65</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подлежащие проверке не более одного раза в два года: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крахмалопаточное производство;</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масложировых изделий;</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чайная промышленность;</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желатиновое и дрожжевое производство;</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пищевых концентратов;</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средств гигиены, парфюмерно-косметических средств;</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торгово-рыночных комплексов, за исключением реализации продуктов питания;</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горнорудная промышленность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и переработка химических веществ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услуги интернет-клубов (уровень электромагнитного излучения);</w:t>
            </w:r>
          </w:p>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услуги гостиниц</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 более несоответствий в группе "А" проверочного листа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либо более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 до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51</w:t>
            </w:r>
          </w:p>
        </w:tc>
      </w:tr>
      <w:tr w:rsidR="00930F99" w:rsidRPr="00930F99" w:rsidTr="00930F9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деятельности, относящиеся к средней степени риска:</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 подлежащие проверке не более одного раза в три </w:t>
            </w:r>
            <w:r w:rsidRPr="00930F99">
              <w:rPr>
                <w:rFonts w:ascii="Arial" w:eastAsia="Times New Roman" w:hAnsi="Arial" w:cs="Arial"/>
                <w:sz w:val="20"/>
                <w:szCs w:val="20"/>
                <w:lang w:eastAsia="ru-RU"/>
              </w:rPr>
              <w:lastRenderedPageBreak/>
              <w:t>года: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медицинских услуг без парентерального вмешательства;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оказание образовательных услуг, не отнесенных к высокой степени риска</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xml:space="preserve">1 или более несоответствий в группе "А" проверочного </w:t>
            </w:r>
            <w:r w:rsidRPr="00930F99">
              <w:rPr>
                <w:rFonts w:ascii="Arial" w:eastAsia="Times New Roman" w:hAnsi="Arial" w:cs="Arial"/>
                <w:sz w:val="20"/>
                <w:szCs w:val="20"/>
                <w:lang w:eastAsia="ru-RU"/>
              </w:rPr>
              <w:lastRenderedPageBreak/>
              <w:t>листа и/или более 40% несоответствий в группе "Б"</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70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20% до 40%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боле 20%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подлежащие проверке не более одного раза в четыре года: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хранение и реализация средств гигиены, парфюмерно-косметических средств;</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тяжелая промышленность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строительство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услуги по обслуживанию и ремонту транспорта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торговля товарами народного потребления, строительными материалами, мебельной продукцией</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или более несоответствий в группе "А" проверочного листа и/или более 40% несоответствий в группе "Б"</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20% до 40%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боле 20%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деятельности, относящиеся к незначительной степени риска:</w:t>
            </w:r>
          </w:p>
        </w:tc>
      </w:tr>
      <w:tr w:rsidR="00930F99" w:rsidRPr="00930F99" w:rsidTr="00930F99">
        <w:tc>
          <w:tcPr>
            <w:tcW w:w="17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28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производство товаров народного потребления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спортивного назначения;</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эксплуатация объектов культурно-просветительского назначения, развлечения и массового посещения;</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легкая промышленность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энергетика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связь (безопасность условий труда);</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сельское хозяйство (безопасность условий труда)</w:t>
            </w: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или более несоответствий в группе "А" и/или более 50%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30% до 50%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63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более 30% несоответствий в группе "Б" проверочного листа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bl>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2"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36-2. Определение баллов в соответствии с масштабом деятельности и результатам предыдущих проверок:</w:t>
      </w:r>
    </w:p>
    <w:tbl>
      <w:tblPr>
        <w:tblW w:w="5000" w:type="pct"/>
        <w:tblCellMar>
          <w:left w:w="0" w:type="dxa"/>
          <w:right w:w="0" w:type="dxa"/>
        </w:tblCellMar>
        <w:tblLook w:val="04A0" w:firstRow="1" w:lastRow="0" w:firstColumn="1" w:lastColumn="0" w:noHBand="0" w:noVBand="1"/>
      </w:tblPr>
      <w:tblGrid>
        <w:gridCol w:w="272"/>
        <w:gridCol w:w="8403"/>
        <w:gridCol w:w="896"/>
      </w:tblGrid>
      <w:tr w:rsidR="00930F99" w:rsidRPr="00930F99" w:rsidTr="00930F99">
        <w:tc>
          <w:tcPr>
            <w:tcW w:w="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Критерий</w:t>
            </w:r>
          </w:p>
        </w:tc>
        <w:tc>
          <w:tcPr>
            <w:tcW w:w="3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541"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Масштаб деятельности</w:t>
            </w:r>
          </w:p>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300 кг в сутки/более 300 посадочных мест/более 50 посещений или 20 койко-мест (медицинские услуги)/более 20 посещений (детские, подростковые организации)/более 50 работников (оценка условий труда)/более 100 торговых мест.</w:t>
            </w:r>
          </w:p>
        </w:tc>
        <w:tc>
          <w:tcPr>
            <w:tcW w:w="36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541"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От 100 до 300 кг в сутки/от 100 до 300 посадочных мест/от 20 до 50 посещений или от 10 до 20 койко-мест/от 10 до 20 посещений/от 20 до 50 работников/от 50 до 100 торговых мест.</w:t>
            </w:r>
          </w:p>
        </w:tc>
        <w:tc>
          <w:tcPr>
            <w:tcW w:w="36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5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100 кг в сутки/менее 100 посадочных мест/до 20 посещений или до 10 койко-мест/до 10 посещений/до 20 работников/до 50 торговых мест</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r>
      <w:tr w:rsidR="00930F99" w:rsidRPr="00930F99" w:rsidTr="00930F99">
        <w:tc>
          <w:tcPr>
            <w:tcW w:w="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4541"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Результаты предыдущих проверок</w:t>
            </w:r>
          </w:p>
        </w:tc>
        <w:tc>
          <w:tcPr>
            <w:tcW w:w="36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541"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Предписание не исполнено.</w:t>
            </w:r>
          </w:p>
        </w:tc>
        <w:tc>
          <w:tcPr>
            <w:tcW w:w="36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541"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Предписание исполнено частично.</w:t>
            </w:r>
          </w:p>
        </w:tc>
        <w:tc>
          <w:tcPr>
            <w:tcW w:w="36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45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Предписание исполнено полностью или отсутствовало.</w:t>
            </w:r>
          </w:p>
        </w:tc>
        <w:tc>
          <w:tcPr>
            <w:tcW w:w="3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bl>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3"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36-3. В зависимости от количества баллов определяется периодичность проверок: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степень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более 100 баллов - проверяются не более двух раз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от 86 до 100 баллов - проверяются не более одного раза в год;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от 71 до 85 баллов - проверяются не более одного раза в два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средняя степень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от 56 до 70 баллов - проверяются не более одного раза в три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от 41 до 55 баллов - проверяются не более одного раза в четыре года;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незначительная степень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до 40 баллов включительно - проверяются не более одного раза в пять лет.</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4"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36-4. При наличии сертифицированной системы менеджмента безопасности продукции питания (СМБПП), основанной на принципах ХАССП (НАССР), документов, подтверждающих безопасность выпускаемой продуктов (декларация о соответствии, сертификат соответствия, свидетельство о государственной регистрации), при отсутствии жалоб потребителей и подтвержденных фактов несоответствия требованиям технических регламентов на этапах обращения продукции, степень риска субъекта снижается по сравнению с его отраслевой степенью риска независимо от количества баллов.</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35"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1" w:name="g10"/>
      <w:bookmarkEnd w:id="11"/>
      <w:r w:rsidRPr="00930F99">
        <w:rPr>
          <w:rFonts w:ascii="Arial" w:eastAsia="Times New Roman" w:hAnsi="Arial" w:cs="Arial"/>
          <w:b/>
          <w:bCs/>
          <w:sz w:val="24"/>
          <w:szCs w:val="24"/>
          <w:lang w:eastAsia="ru-RU"/>
        </w:rPr>
        <w:t>Глава 10. Критерии оценки степени риска предпринимательской деятельности в сфере операций с драгоценными металлами и драгоценными камнями на территории Кыргызской Республики</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37. Критерии оценки степени риска предпринимательской деятельности в сфере операций с драгоценными металлами и драгоценными камнями на территории Кыргызской Республики:</w:t>
      </w:r>
    </w:p>
    <w:tbl>
      <w:tblPr>
        <w:tblW w:w="5000" w:type="pct"/>
        <w:tblCellMar>
          <w:left w:w="0" w:type="dxa"/>
          <w:right w:w="0" w:type="dxa"/>
        </w:tblCellMar>
        <w:tblLook w:val="04A0" w:firstRow="1" w:lastRow="0" w:firstColumn="1" w:lastColumn="0" w:noHBand="0" w:noVBand="1"/>
      </w:tblPr>
      <w:tblGrid>
        <w:gridCol w:w="361"/>
        <w:gridCol w:w="1824"/>
        <w:gridCol w:w="6091"/>
        <w:gridCol w:w="1295"/>
      </w:tblGrid>
      <w:tr w:rsidR="00930F99" w:rsidRPr="00930F99" w:rsidTr="00930F99">
        <w:tc>
          <w:tcPr>
            <w:tcW w:w="1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2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15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8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Сектор</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Реализация и скупка ювелирных изделий из драгоценных металлов и драгоценных камней</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35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Изготовление ювелирных изделий из драгоценных металлов и драгоценных камней</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25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val="ky-KG" w:eastAsia="ru-RU"/>
              </w:rPr>
              <w:t>Ремонт изделий из драгоценных металлов</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10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val="ky-KG" w:eastAsia="ru-RU"/>
              </w:rPr>
              <w:t>Зубопротезирование из драгоценных металлов</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15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Вторичное извлечение драгоценных металлов</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10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Залоговые операции с драгоценными металлами</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5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8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Масштаб/Размер (Обслуживание граждан в год)</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10000 граждан</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35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1000-10000</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30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500-1000</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25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500</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5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8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Результаты проведенных </w:t>
            </w:r>
            <w:r w:rsidRPr="00930F99">
              <w:rPr>
                <w:rFonts w:ascii="Arial" w:eastAsia="Times New Roman" w:hAnsi="Arial" w:cs="Arial"/>
                <w:sz w:val="20"/>
                <w:szCs w:val="20"/>
                <w:lang w:eastAsia="ru-RU"/>
              </w:rPr>
              <w:lastRenderedPageBreak/>
              <w:t>проверок</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Несоответствие качества изделий</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9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ведения учета</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7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Нарушение соблюдения правил продажи</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7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весового оборудования, поверенного в соответствии с Законом Кыргызской Республики "Об обеспечении единства измерений"</w:t>
            </w: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2" w:name="g11"/>
      <w:bookmarkEnd w:id="12"/>
      <w:r w:rsidRPr="00930F99">
        <w:rPr>
          <w:rFonts w:ascii="Arial" w:eastAsia="Times New Roman" w:hAnsi="Arial" w:cs="Arial"/>
          <w:b/>
          <w:bCs/>
          <w:sz w:val="24"/>
          <w:szCs w:val="24"/>
          <w:lang w:eastAsia="ru-RU"/>
        </w:rPr>
        <w:t>Глава 11. Критерии оценки степени риска предпринимательской деятельности в области ветеринарно-санитарной безопасности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38. Первичное определение степени риска субъектов в зависимости от уровня безопасности объектов государственного ветеринарно-санитарного контроля: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к высокой степени риска относятся: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объекты по производству молока и молочных изделий, кроме частных подворий;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объекты по убою животных и переработке мяса и мясной продукции;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склады, холодильники, хладокомбинаты, занимающиеся приемом, хранением и реализацией продукции и сырья животного происхождения;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физические и юридические лица, занимающиеся содержанием, разведением и использованием животных, включая рынки по продаже животных и птиц;</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субъекты предпринимательства, занимающиеся производством и реализацией препаратов ветеринарного назначения;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птицефабрики;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рыбодобывающие и перерабатывающие предприятия;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к средней степени риска относятся: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лаборатории ветеринарно-санитарной экспертизы, работающие независимо от форм собственности;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физические и юридические лица, занимающиеся лечебно-профилактической деятельностью;</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физические и юридические лица, занимающиеся реализацией ветеринарных препаратов;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физические и юридические лица, занимающиеся заготовкой, хранением и реализацией кормов и кормовых добавок;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научные организации, занимающиеся содержанием и разведением животных в научных целях;</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к субъектам незначительной степени риска относятся: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ведомственные ветеринарные службы государственных органов;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зоопарки, цирки, зоомагазины;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физические и юридические лица, занимающиеся содержанием и разведением пчел;</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объекты производства высокой и средней степени риска, внедрившие систему производственного контроля и имеющие документальное подтверждение об этом в соответствии с законодательством Кыргызской Республики.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39. Каждый вид нарушения оценивается баллом в зависимости от характера выявленного нарушения: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грубые нарушения - 20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значительные нарушения - 10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незначительные нарушения - 5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40. По итогам проведенных проверок степень риска определяется в соответствии с критериями оценки степени риска, установленными пунктами 43-53 настоящей главы.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41. Перевод субъекта одной группы степени риска в другую группу степени риска осуществляется по результатам подсчета баллов, набранных по итогам плановых проверок.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42. Факторы, влияющие на определение очередности при планировании проверок субъектов одной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1) производственный потенциал предприятия, превышающий 2 тонны продукции в сутки;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2) нарушения по итогам предыдущих проверок:</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результатам эпизоотического мониторинга;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результатам лабораторных исследований или ветеринарно-санитарных экспертиз;</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3) отсутствие или нефункционирование производственного контроля;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 результаты устранения нарушений, выявленных в ходе предыдущих проверок (исполнение предписаний);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 дата последней проверки.</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43. Критерии оценки степени риска при производстве молока и молочных продуктов:</w:t>
      </w:r>
    </w:p>
    <w:tbl>
      <w:tblPr>
        <w:tblW w:w="5000" w:type="pct"/>
        <w:tblCellMar>
          <w:left w:w="0" w:type="dxa"/>
          <w:right w:w="0" w:type="dxa"/>
        </w:tblCellMar>
        <w:tblLook w:val="04A0" w:firstRow="1" w:lastRow="0" w:firstColumn="1" w:lastColumn="0" w:noHBand="0" w:noVBand="1"/>
      </w:tblPr>
      <w:tblGrid>
        <w:gridCol w:w="1791"/>
        <w:gridCol w:w="5638"/>
        <w:gridCol w:w="2142"/>
      </w:tblGrid>
      <w:tr w:rsidR="00930F99" w:rsidRPr="00930F99" w:rsidTr="00930F99">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30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66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молока и молочной продукции при ее реализации</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сырья, используемого для производства (изготовления) молока и молочной продукции</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заквасок и пробиотических культур</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молока и молочной продукции при производстве (изготовлении)</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9 и более несоответствий</w:t>
            </w:r>
          </w:p>
        </w:tc>
      </w:tr>
      <w:tr w:rsidR="00930F99" w:rsidRPr="00930F99" w:rsidTr="00930F99">
        <w:tc>
          <w:tcPr>
            <w:tcW w:w="66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Требования к безопасности готовой молочной продукции </w:t>
            </w:r>
            <w:r w:rsidRPr="00930F99">
              <w:rPr>
                <w:rFonts w:ascii="Arial" w:eastAsia="Times New Roman" w:hAnsi="Arial" w:cs="Arial"/>
                <w:sz w:val="20"/>
                <w:szCs w:val="20"/>
                <w:lang w:val="ky-KG" w:eastAsia="ru-RU"/>
              </w:rPr>
              <w:t>\</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зданий, сооружений, используемых при производстве (изготовлении) молока и молочных продуктов</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молока и молочной продукции при хранении и транспортировке</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молока и молочной продукции при утилизации</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 более несоответствий</w:t>
            </w:r>
          </w:p>
        </w:tc>
      </w:tr>
      <w:tr w:rsidR="00930F99" w:rsidRPr="00930F99" w:rsidTr="00930F99">
        <w:tc>
          <w:tcPr>
            <w:tcW w:w="6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30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Tpeбования к безопасности упаковки (таре) и маркировки молока и молочной продукции</w:t>
            </w:r>
          </w:p>
        </w:tc>
        <w:tc>
          <w:tcPr>
            <w:tcW w:w="125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44. Критерии оценки степени риска при убое животных и переработке мяса и мясной продукции:</w:t>
      </w:r>
    </w:p>
    <w:tbl>
      <w:tblPr>
        <w:tblW w:w="5000" w:type="pct"/>
        <w:tblCellMar>
          <w:left w:w="0" w:type="dxa"/>
          <w:right w:w="0" w:type="dxa"/>
        </w:tblCellMar>
        <w:tblLook w:val="04A0" w:firstRow="1" w:lastRow="0" w:firstColumn="1" w:lastColumn="0" w:noHBand="0" w:noVBand="1"/>
      </w:tblPr>
      <w:tblGrid>
        <w:gridCol w:w="1791"/>
        <w:gridCol w:w="5377"/>
        <w:gridCol w:w="2403"/>
      </w:tblGrid>
      <w:tr w:rsidR="00930F99" w:rsidRPr="00930F99" w:rsidTr="00930F99">
        <w:tc>
          <w:tcPr>
            <w:tcW w:w="7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9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73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мяса</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при заготовке мяса и производстве мясных продуктов</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выбору места и территории объекта</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производственным зонам объекта производства (изготовления) и переработки мяса и мясной продукции</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при подготовке животных и птицы к убою</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производству мяса и продуктов его переработки</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Гигиенические требования к процессу производства мяса и продуктов его переработки</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и более несоответствий</w:t>
            </w:r>
          </w:p>
        </w:tc>
      </w:tr>
      <w:tr w:rsidR="00930F99" w:rsidRPr="00930F99" w:rsidTr="00930F99">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хранению, транспортированию, реализации и утилизации мяса и продуктов его переработки</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r w:rsidR="00930F99" w:rsidRPr="00930F99" w:rsidTr="00930F99">
        <w:tc>
          <w:tcPr>
            <w:tcW w:w="73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прослеживаемости</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маркировке</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1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Осуществление производственного контроля</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45. Критерии оценки степени риска при приеме, хранении и реализации продуктов и сырья животного происхождения (объекты внутренней торговли, склады, холодильники, хладокомбинаты):</w:t>
      </w:r>
    </w:p>
    <w:tbl>
      <w:tblPr>
        <w:tblW w:w="5000" w:type="pct"/>
        <w:tblCellMar>
          <w:left w:w="0" w:type="dxa"/>
          <w:right w:w="0" w:type="dxa"/>
        </w:tblCellMar>
        <w:tblLook w:val="04A0" w:firstRow="1" w:lastRow="0" w:firstColumn="1" w:lastColumn="0" w:noHBand="0" w:noVBand="1"/>
      </w:tblPr>
      <w:tblGrid>
        <w:gridCol w:w="1564"/>
        <w:gridCol w:w="5561"/>
        <w:gridCol w:w="2446"/>
      </w:tblGrid>
      <w:tr w:rsidR="00930F99" w:rsidRPr="00930F99" w:rsidTr="00930F99">
        <w:tc>
          <w:tcPr>
            <w:tcW w:w="6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9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обеспечивающие безопасность сырья животного происхождения для производства кормов, для сельскохозяйственных и промышленных целей</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обеспечивающие безопасность сырья животного происхождения для фармацевтических и хирургических целей</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хранению сырья животного происхождения - для пищевых целей</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обезвреживанию, утилизации и уничтожению сырья животного происхождения для пищевых целей</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порядку проведения послеубойной ветеринарно-санитарной экспертизы продуктов и сырья животного происхождения</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6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29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упаковке, перевозке, реализации сырья животного происхождения для пищевых целей</w:t>
            </w: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46. Критерии оценки степени риска при приеме, производстве, хранении и реализации яиц и яичных продуктов:</w:t>
      </w:r>
    </w:p>
    <w:tbl>
      <w:tblPr>
        <w:tblW w:w="5000" w:type="pct"/>
        <w:tblCellMar>
          <w:left w:w="0" w:type="dxa"/>
          <w:right w:w="0" w:type="dxa"/>
        </w:tblCellMar>
        <w:tblLook w:val="04A0" w:firstRow="1" w:lastRow="0" w:firstColumn="1" w:lastColumn="0" w:noHBand="0" w:noVBand="1"/>
      </w:tblPr>
      <w:tblGrid>
        <w:gridCol w:w="1568"/>
        <w:gridCol w:w="4462"/>
        <w:gridCol w:w="3541"/>
      </w:tblGrid>
      <w:tr w:rsidR="00930F99" w:rsidRPr="00930F99" w:rsidTr="00930F99">
        <w:tc>
          <w:tcPr>
            <w:tcW w:w="8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81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яиц и яичных продуктов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зданиям, территориям предприятий, занимающихся переработкой яиц и яичных продуктов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оборудованию и метрологическому обеспечению</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процессам производства яиц и яичных продуктов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яиц и яичных продуктов при хранении, транспортировке и утилизации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10 и более несоответствий</w:t>
            </w:r>
          </w:p>
        </w:tc>
      </w:tr>
      <w:tr w:rsidR="00930F99" w:rsidRPr="00930F99" w:rsidTr="00930F99">
        <w:tc>
          <w:tcPr>
            <w:tcW w:w="8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233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упаковке и маркировке яиц и яичных продуктов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47. Критерии оценки степени риска при производстве инкубационных яиц для вывода суточного молодняка:</w:t>
      </w:r>
    </w:p>
    <w:tbl>
      <w:tblPr>
        <w:tblW w:w="5000" w:type="pct"/>
        <w:tblCellMar>
          <w:left w:w="0" w:type="dxa"/>
          <w:right w:w="0" w:type="dxa"/>
        </w:tblCellMar>
        <w:tblLook w:val="04A0" w:firstRow="1" w:lastRow="0" w:firstColumn="1" w:lastColumn="0" w:noHBand="0" w:noVBand="1"/>
      </w:tblPr>
      <w:tblGrid>
        <w:gridCol w:w="1320"/>
        <w:gridCol w:w="5679"/>
        <w:gridCol w:w="2572"/>
      </w:tblGrid>
      <w:tr w:rsidR="00930F99" w:rsidRPr="00930F99" w:rsidTr="00930F99">
        <w:tc>
          <w:tcPr>
            <w:tcW w:w="5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30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53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304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инкубационных яиц для вывода молодняка птицы, к суточному молодняку птицы</w:t>
            </w:r>
          </w:p>
        </w:tc>
        <w:tc>
          <w:tcPr>
            <w:tcW w:w="14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4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выращивания и содержания птицы родительского стада</w:t>
            </w:r>
          </w:p>
        </w:tc>
        <w:tc>
          <w:tcPr>
            <w:tcW w:w="14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4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зданиям, территориям предприятий, занимающихся инкубацией яиц для вывода молодняка птицы</w:t>
            </w:r>
          </w:p>
        </w:tc>
        <w:tc>
          <w:tcPr>
            <w:tcW w:w="14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16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4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оборудованию и метрологическому обеспечению</w:t>
            </w:r>
          </w:p>
        </w:tc>
        <w:tc>
          <w:tcPr>
            <w:tcW w:w="14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04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специальным технологическим процессам при производстве, хранении, транспортировании, реализации и утилизации инкубационных яиц и суточного молодняка</w:t>
            </w:r>
          </w:p>
        </w:tc>
        <w:tc>
          <w:tcPr>
            <w:tcW w:w="141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22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48. Критерии оценки степени риска при добыче, переработке рыбы и рыбопродуктов:</w:t>
      </w:r>
    </w:p>
    <w:tbl>
      <w:tblPr>
        <w:tblW w:w="5000" w:type="pct"/>
        <w:tblCellMar>
          <w:left w:w="0" w:type="dxa"/>
          <w:right w:w="0" w:type="dxa"/>
        </w:tblCellMar>
        <w:tblLook w:val="04A0" w:firstRow="1" w:lastRow="0" w:firstColumn="1" w:lastColumn="0" w:noHBand="0" w:noVBand="1"/>
      </w:tblPr>
      <w:tblGrid>
        <w:gridCol w:w="1564"/>
        <w:gridCol w:w="5320"/>
        <w:gridCol w:w="2687"/>
      </w:tblGrid>
      <w:tr w:rsidR="00930F99" w:rsidRPr="00930F99" w:rsidTr="00930F99">
        <w:tc>
          <w:tcPr>
            <w:tcW w:w="6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8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Грубые нарушения</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рыбы и рыбной продукции</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зданиям, территориям предприятий, занимающихся переработкой рыбы и рыбной продукции</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рыболовным и рыбоперерабатывающим судам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морозильным судам, холодильным камерам и морозильникам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плавбазам (плавсредствам)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оборудованию и метрологическому обеспечению</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9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процессу производства рыбы и рыбной продукции</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18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хранению и транспортным средствам</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9 и более несоответствий</w:t>
            </w:r>
          </w:p>
        </w:tc>
      </w:tr>
      <w:tr w:rsidR="00930F99" w:rsidRPr="00930F99" w:rsidTr="00930F99">
        <w:tc>
          <w:tcPr>
            <w:tcW w:w="6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w:t>
            </w:r>
            <w:r w:rsidRPr="00930F99">
              <w:rPr>
                <w:rFonts w:ascii="Arial" w:eastAsia="Times New Roman" w:hAnsi="Arial" w:cs="Arial"/>
                <w:sz w:val="20"/>
                <w:szCs w:val="20"/>
                <w:lang w:val="ky-KG" w:eastAsia="ru-RU"/>
              </w:rPr>
              <w:t>н</w:t>
            </w:r>
            <w:r w:rsidRPr="00930F99">
              <w:rPr>
                <w:rFonts w:ascii="Arial" w:eastAsia="Times New Roman" w:hAnsi="Arial" w:cs="Arial"/>
                <w:sz w:val="20"/>
                <w:szCs w:val="20"/>
                <w:lang w:eastAsia="ru-RU"/>
              </w:rPr>
              <w:t>ые нарушения</w:t>
            </w:r>
          </w:p>
        </w:tc>
        <w:tc>
          <w:tcPr>
            <w:tcW w:w="286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упаковке, маркировке рыбы и рыбной продукции</w:t>
            </w:r>
          </w:p>
        </w:tc>
        <w:tc>
          <w:tcPr>
            <w:tcW w:w="149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8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49. Критерии оценки степени риска при приеме, производстве, хранении и реализации меда и продуктов пчеловодства:</w:t>
      </w:r>
    </w:p>
    <w:tbl>
      <w:tblPr>
        <w:tblW w:w="5000" w:type="pct"/>
        <w:tblCellMar>
          <w:left w:w="0" w:type="dxa"/>
          <w:right w:w="0" w:type="dxa"/>
        </w:tblCellMar>
        <w:tblLook w:val="04A0" w:firstRow="1" w:lastRow="0" w:firstColumn="1" w:lastColumn="0" w:noHBand="0" w:noVBand="1"/>
      </w:tblPr>
      <w:tblGrid>
        <w:gridCol w:w="1791"/>
        <w:gridCol w:w="5766"/>
        <w:gridCol w:w="2014"/>
      </w:tblGrid>
      <w:tr w:rsidR="00930F99" w:rsidRPr="00930F99" w:rsidTr="00930F99">
        <w:tc>
          <w:tcPr>
            <w:tcW w:w="5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31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критерии</w:t>
            </w:r>
          </w:p>
        </w:tc>
        <w:tc>
          <w:tcPr>
            <w:tcW w:w="12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57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31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обеспечивающие безопасность меда и продуктов пчеловодства</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1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пчеловодческим объектам</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11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31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к хранению, транспортировке и утилизации меда и продуктов пчеловодства</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5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31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порядку проведения ветеринарно-санитарной экспертизы меда и продуктов пчеловодства</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5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319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упаковке и маркировке меда и продуктов пчеловодства</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50. Критерии оценки степени риска при содержании, разведении и использовании животных физическими и юридическими лицами:</w:t>
      </w:r>
    </w:p>
    <w:tbl>
      <w:tblPr>
        <w:tblW w:w="0" w:type="auto"/>
        <w:tblCellMar>
          <w:left w:w="0" w:type="dxa"/>
          <w:right w:w="0" w:type="dxa"/>
        </w:tblCellMar>
        <w:tblLook w:val="04A0" w:firstRow="1" w:lastRow="0" w:firstColumn="1" w:lastColumn="0" w:noHBand="0" w:noVBand="1"/>
      </w:tblPr>
      <w:tblGrid>
        <w:gridCol w:w="2012"/>
        <w:gridCol w:w="4177"/>
        <w:gridCol w:w="3382"/>
      </w:tblGrid>
      <w:tr w:rsidR="00930F99" w:rsidRPr="00930F99" w:rsidTr="00930F9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Порядок регистрации животных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7 и более несоответствий </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Обязанности по предупреждению болезней животных, включая болезни, </w:t>
            </w:r>
            <w:r w:rsidRPr="00930F99">
              <w:rPr>
                <w:rFonts w:ascii="Arial" w:eastAsia="Times New Roman" w:hAnsi="Arial" w:cs="Arial"/>
                <w:sz w:val="20"/>
                <w:szCs w:val="20"/>
                <w:lang w:eastAsia="ru-RU"/>
              </w:rPr>
              <w:lastRenderedPageBreak/>
              <w:t>общие для животных и человека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 и более несоответствий</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Значительные нарушения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Общие требования к содержанию, разведению и использованию животных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содержанию, разведению и использованию кошек и собак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содержанию, разведению и использованию сельскохозяйственных и экзотических животных, птиц и пчел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8 и более несоответствий</w:t>
            </w:r>
          </w:p>
        </w:tc>
      </w:tr>
      <w:tr w:rsidR="00930F99" w:rsidRPr="00930F99" w:rsidTr="00930F9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при продаже, приобретении и перевозке животных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51. Критерии оценки степени риска при производстве и реализации ветеринарных препаратов:</w:t>
      </w:r>
    </w:p>
    <w:tbl>
      <w:tblPr>
        <w:tblW w:w="5000" w:type="pct"/>
        <w:tblCellMar>
          <w:left w:w="0" w:type="dxa"/>
          <w:right w:w="0" w:type="dxa"/>
        </w:tblCellMar>
        <w:tblLook w:val="04A0" w:firstRow="1" w:lastRow="0" w:firstColumn="1" w:lastColumn="0" w:noHBand="0" w:noVBand="1"/>
      </w:tblPr>
      <w:tblGrid>
        <w:gridCol w:w="1915"/>
        <w:gridCol w:w="4695"/>
        <w:gridCol w:w="2961"/>
      </w:tblGrid>
      <w:tr w:rsidR="00930F99" w:rsidRPr="00930F99" w:rsidTr="00930F99">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10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производственных помещений и оборудования при производстве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сырья, используемого в производстве (изготовлении)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производства (изготовления)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10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Значительные нарушения</w:t>
            </w: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изготовления лекарственных средств в ветеринарных аптеках</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упаковки, маркировки и расфасовка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хранения и транспортировки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9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обращения лекарственных средств и биологических препаратов, используемых в ветеринарии</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8 и более несоответствий</w:t>
            </w:r>
          </w:p>
        </w:tc>
      </w:tr>
      <w:tr w:rsidR="00930F99" w:rsidRPr="00930F99" w:rsidTr="00930F99">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24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применения лекарственных средств и биологических препаратов для животных</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52. Критерии оценки степени риска физических и юридических лиц, занимающихся лечебно-профилактической деятельностью на основе лицензии:</w:t>
      </w:r>
    </w:p>
    <w:tbl>
      <w:tblPr>
        <w:tblW w:w="5000" w:type="pct"/>
        <w:tblCellMar>
          <w:left w:w="0" w:type="dxa"/>
          <w:right w:w="0" w:type="dxa"/>
        </w:tblCellMar>
        <w:tblLook w:val="04A0" w:firstRow="1" w:lastRow="0" w:firstColumn="1" w:lastColumn="0" w:noHBand="0" w:noVBand="1"/>
      </w:tblPr>
      <w:tblGrid>
        <w:gridCol w:w="1890"/>
        <w:gridCol w:w="4658"/>
        <w:gridCol w:w="3023"/>
      </w:tblGrid>
      <w:tr w:rsidR="00930F99" w:rsidRPr="00930F99" w:rsidTr="00930F99">
        <w:tc>
          <w:tcPr>
            <w:tcW w:w="9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lastRenderedPageBreak/>
              <w:t>Виды нарушения</w:t>
            </w:r>
          </w:p>
        </w:tc>
        <w:tc>
          <w:tcPr>
            <w:tcW w:w="2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5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9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Лицензионные требования</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Ветеринарные нормативы производственных помещений и набора технологического оборудования по ветеринарной лечебно-профилактической деятельности для физических и юридических лиц</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43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операционному блоку</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8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безопасности при применении лекарственных средств и биологических препаратов для животных</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9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хранения лекарственных средств и биологических препаратов, используемых в ветеринарии</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43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Правила ведения ветеринарного учета и отчетности</w:t>
            </w: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53. Критерии оценки степени риска физических и юридических лиц, занимающихся заготовкой, хранением и реализацией кормов и кормовых добавок:</w:t>
      </w:r>
    </w:p>
    <w:tbl>
      <w:tblPr>
        <w:tblW w:w="5000" w:type="pct"/>
        <w:tblCellMar>
          <w:left w:w="0" w:type="dxa"/>
          <w:right w:w="0" w:type="dxa"/>
        </w:tblCellMar>
        <w:tblLook w:val="04A0" w:firstRow="1" w:lastRow="0" w:firstColumn="1" w:lastColumn="0" w:noHBand="0" w:noVBand="1"/>
      </w:tblPr>
      <w:tblGrid>
        <w:gridCol w:w="1974"/>
        <w:gridCol w:w="3983"/>
        <w:gridCol w:w="3614"/>
      </w:tblGrid>
      <w:tr w:rsidR="00930F99" w:rsidRPr="00930F99" w:rsidTr="00930F99">
        <w:tc>
          <w:tcPr>
            <w:tcW w:w="10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нарушения</w:t>
            </w:r>
          </w:p>
        </w:tc>
        <w:tc>
          <w:tcPr>
            <w:tcW w:w="20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1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Количество выявленных несоответствий параметрам, закрепленным в проверочных листах</w:t>
            </w:r>
          </w:p>
        </w:tc>
      </w:tr>
      <w:tr w:rsidR="00930F99" w:rsidRPr="00930F99" w:rsidTr="00930F99">
        <w:tc>
          <w:tcPr>
            <w:tcW w:w="10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Грубые нарушения</w:t>
            </w: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кормов и кормовых добавок</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сырья, используемого для производства (изготовления) кормов и кормовых добавок</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6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кормов и кормовых добавок при их производстве (изготовлении)</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и более несоответствий</w:t>
            </w:r>
          </w:p>
        </w:tc>
      </w:tr>
      <w:tr w:rsidR="00930F99" w:rsidRPr="00930F99" w:rsidTr="00930F99">
        <w:tc>
          <w:tcPr>
            <w:tcW w:w="10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Незначительные нарушения</w:t>
            </w: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объектов по производству (изготовлению) кормов и кормовых добавок</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14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кормов и кормовых добавок при их хранения транспортировке, маркировке и упаковке</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и более несоответствий</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Требования к безопасности кормов и кормовых добавок при их уничтожении</w:t>
            </w:r>
          </w:p>
        </w:tc>
        <w:tc>
          <w:tcPr>
            <w:tcW w:w="188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 несоответствий</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3" w:name="g12"/>
      <w:bookmarkEnd w:id="13"/>
      <w:r w:rsidRPr="00930F99">
        <w:rPr>
          <w:rFonts w:ascii="Arial" w:eastAsia="Times New Roman" w:hAnsi="Arial" w:cs="Arial"/>
          <w:b/>
          <w:bCs/>
          <w:sz w:val="24"/>
          <w:szCs w:val="24"/>
          <w:lang w:eastAsia="ru-RU"/>
        </w:rPr>
        <w:t>Глава 12. Критерии оценки степени риска в сфере соблюдения антимонопольного законодательства, условий лицензирования, правильности формирования и применения цен (тарифов) субъектами топливно-энергетического комплекса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54. Критерии оценки степени риска в сфере соблюдения антимонопольного законодательства, условий лицензирования, правильности формирования и применения цен (тарифов) субъектами топливно-энергетического комплекса:</w:t>
      </w:r>
    </w:p>
    <w:tbl>
      <w:tblPr>
        <w:tblW w:w="5000" w:type="pct"/>
        <w:tblCellMar>
          <w:left w:w="0" w:type="dxa"/>
          <w:right w:w="0" w:type="dxa"/>
        </w:tblCellMar>
        <w:tblLook w:val="04A0" w:firstRow="1" w:lastRow="0" w:firstColumn="1" w:lastColumn="0" w:noHBand="0" w:noVBand="1"/>
      </w:tblPr>
      <w:tblGrid>
        <w:gridCol w:w="328"/>
        <w:gridCol w:w="3194"/>
        <w:gridCol w:w="5153"/>
        <w:gridCol w:w="896"/>
      </w:tblGrid>
      <w:tr w:rsidR="00930F99" w:rsidRPr="00930F99" w:rsidTr="00930F99">
        <w:tc>
          <w:tcPr>
            <w:tcW w:w="1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16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2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4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Состояние конкурентного рынка</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Естественные монополисты (выработка, передача, распределение э/э) т.е. ОАО "Электрические станции", ОАО "Национальная электрическая сеть Кыргызстана", распределительные электрокомпании: ОАО "Северэлектро", ОАО "Ошэлектро", ОАО "Жалалабатэлектро", ОАО "Востокэлектро"</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ОПП (оптовые покупатели перепродавцы), ПП (потребители перепродавцы), со скидкой от генерирующих компаний</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Субъекты с условием продажи субпотребителям с надбавкой от конечного тарифа (промышленность)</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Доходность субъектов</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10,0 млн.сомов в год и выше</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 млн.сомов до 10,0 млн.сомов в год</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 млн.сомов в год</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Цены (тарифы), регулируемые государством</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Постоянно регулируемые государством</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Временное госрегулирование (периодично на время действия лицензии и тарифов)</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Госрегулирование не требуется (потребность в электрической энергии на собственные нужды, тарифное регулирование не требуется)</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851"/>
        </w:trPr>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Осуществление закупок товаров, работ и услуг (соблюдение условий </w:t>
            </w:r>
            <w:hyperlink r:id="rId36" w:history="1">
              <w:r w:rsidRPr="00930F99">
                <w:rPr>
                  <w:rFonts w:ascii="Arial" w:eastAsia="Times New Roman" w:hAnsi="Arial" w:cs="Arial"/>
                  <w:color w:val="0000FF"/>
                  <w:sz w:val="20"/>
                  <w:szCs w:val="20"/>
                  <w:u w:val="single"/>
                  <w:lang w:eastAsia="ru-RU"/>
                </w:rPr>
                <w:t>Закона</w:t>
              </w:r>
            </w:hyperlink>
            <w:r w:rsidRPr="00930F99">
              <w:rPr>
                <w:rFonts w:ascii="Arial" w:eastAsia="Times New Roman" w:hAnsi="Arial" w:cs="Arial"/>
                <w:sz w:val="20"/>
                <w:szCs w:val="20"/>
                <w:lang w:eastAsia="ru-RU"/>
              </w:rPr>
              <w:t xml:space="preserve"> Кыргызской Республики "О государственных закупках")</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Осуществление закупок в строгом соответствии с </w:t>
            </w:r>
            <w:hyperlink r:id="rId37" w:history="1">
              <w:r w:rsidRPr="00930F99">
                <w:rPr>
                  <w:rFonts w:ascii="Arial" w:eastAsia="Times New Roman" w:hAnsi="Arial" w:cs="Arial"/>
                  <w:color w:val="0000FF"/>
                  <w:sz w:val="20"/>
                  <w:szCs w:val="20"/>
                  <w:u w:val="single"/>
                  <w:lang w:eastAsia="ru-RU"/>
                </w:rPr>
                <w:t>Законом</w:t>
              </w:r>
            </w:hyperlink>
            <w:r w:rsidRPr="00930F99">
              <w:rPr>
                <w:rFonts w:ascii="Arial" w:eastAsia="Times New Roman" w:hAnsi="Arial" w:cs="Arial"/>
                <w:sz w:val="20"/>
                <w:szCs w:val="20"/>
                <w:lang w:eastAsia="ru-RU"/>
              </w:rPr>
              <w:t xml:space="preserve"> Кыргызской Республики "О государственных закупках"</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Проведение закупок с нарушениями условий </w:t>
            </w:r>
            <w:hyperlink r:id="rId38" w:history="1">
              <w:r w:rsidRPr="00930F99">
                <w:rPr>
                  <w:rFonts w:ascii="Arial" w:eastAsia="Times New Roman" w:hAnsi="Arial" w:cs="Arial"/>
                  <w:color w:val="0000FF"/>
                  <w:sz w:val="20"/>
                  <w:szCs w:val="20"/>
                  <w:u w:val="single"/>
                  <w:lang w:eastAsia="ru-RU"/>
                </w:rPr>
                <w:t>Закона</w:t>
              </w:r>
            </w:hyperlink>
            <w:r w:rsidRPr="00930F99">
              <w:rPr>
                <w:rFonts w:ascii="Arial" w:eastAsia="Times New Roman" w:hAnsi="Arial" w:cs="Arial"/>
                <w:sz w:val="20"/>
                <w:szCs w:val="20"/>
                <w:lang w:eastAsia="ru-RU"/>
              </w:rPr>
              <w:t xml:space="preserve"> Кыргызской Республики "О государственных закупках"</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Проведение закупок не требует государственного регулирования</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Возможность потребителя в выборе услуг (в данном случае выбор линий к запитке)</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Выбор неограничен</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Незначительный выбор (в силу специфических и технологических условий)</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Отсутствует возможность выбора</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жалоб и заявлений потребителей на качество, условия предоставления услуг (электро-, теплоэнергия, газ)</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Систематические жалобы</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более 1-2 жалоб в год</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Отсутствуют жалобы</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Превышение сметы расходов от средств, утвержденных уполномоченным органом</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Превышение на 10% и более</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Превышение на 5% и более</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Превышение отсутствует</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Представление отчета, информации, уведомлений о деятельности в </w:t>
            </w:r>
            <w:r w:rsidRPr="00930F99">
              <w:rPr>
                <w:rFonts w:ascii="Arial" w:eastAsia="Times New Roman" w:hAnsi="Arial" w:cs="Arial"/>
                <w:sz w:val="20"/>
                <w:szCs w:val="20"/>
                <w:lang w:eastAsia="ru-RU"/>
              </w:rPr>
              <w:lastRenderedPageBreak/>
              <w:t>уполномоченный орган, в связи с полученными лицензиями</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Не предоставляет</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Предоставляет, но с нарушением установленных сроков или с нарушениями (недостоверная </w:t>
            </w:r>
            <w:r w:rsidRPr="00930F99">
              <w:rPr>
                <w:rFonts w:ascii="Arial" w:eastAsia="Times New Roman" w:hAnsi="Arial" w:cs="Arial"/>
                <w:sz w:val="20"/>
                <w:szCs w:val="20"/>
                <w:lang w:eastAsia="ru-RU"/>
              </w:rPr>
              <w:lastRenderedPageBreak/>
              <w:t>информация)</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Постоянно представляет</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r>
      <w:tr w:rsidR="00930F99" w:rsidRPr="00930F99" w:rsidTr="00930F99">
        <w:tc>
          <w:tcPr>
            <w:tcW w:w="16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сверхнормативных потерь</w:t>
            </w: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10%</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 до 10%</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70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сверхнормативных потерь</w:t>
            </w:r>
          </w:p>
        </w:tc>
        <w:tc>
          <w:tcPr>
            <w:tcW w:w="4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4" w:name="g13"/>
      <w:bookmarkEnd w:id="14"/>
      <w:r w:rsidRPr="00930F99">
        <w:rPr>
          <w:rFonts w:ascii="Arial" w:eastAsia="Times New Roman" w:hAnsi="Arial" w:cs="Arial"/>
          <w:b/>
          <w:bCs/>
          <w:sz w:val="24"/>
          <w:szCs w:val="24"/>
          <w:lang w:eastAsia="ru-RU"/>
        </w:rPr>
        <w:t>Глава 13. Критерии оценки степени риска предпринимательской деятельности в сфере таможенного дела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55. Критерии оценки степени риска предпринимательской деятельности в сфере таможенного дела:</w:t>
      </w:r>
    </w:p>
    <w:tbl>
      <w:tblPr>
        <w:tblW w:w="5000" w:type="pct"/>
        <w:tblCellMar>
          <w:left w:w="0" w:type="dxa"/>
          <w:right w:w="0" w:type="dxa"/>
        </w:tblCellMar>
        <w:tblLook w:val="04A0" w:firstRow="1" w:lastRow="0" w:firstColumn="1" w:lastColumn="0" w:noHBand="0" w:noVBand="1"/>
      </w:tblPr>
      <w:tblGrid>
        <w:gridCol w:w="361"/>
        <w:gridCol w:w="2632"/>
        <w:gridCol w:w="2100"/>
        <w:gridCol w:w="2195"/>
        <w:gridCol w:w="2283"/>
      </w:tblGrid>
      <w:tr w:rsidR="00930F99" w:rsidRPr="00930F99" w:rsidTr="00930F99">
        <w:tc>
          <w:tcPr>
            <w:tcW w:w="1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3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44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 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15 баллов</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10 баллов</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5 баллов</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Объем ввоза товаров на территорию Кыргызской Республики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Свыше 3,0 млн.сомов</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1,0 млн.сом. до 3,0 млн.сомов</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 1,0 млн.сомов</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Страна происхождения и отправления товаров</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Турция, Иран, Китай, ОАЭ</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Страны-участницы СНГ</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Страны, входящие в ВТО</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Товары, классифицируемые в соответствии с ТНВЭД</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 группам товаров 01 - 24, 30, 33 - 34, 36, 93</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 группам товаров 25-29, 31, 35, 41-43, 50-65, 67, 71, 97</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 группам товаров 32, 37-40, 44-49, 66, 68-70, 72-92, 94-96</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Объем предоставленных освобождений от уплаты таможенных платежей</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Полное (освобождение от уплаты различных сборов, таможенных пошлин и налогов)</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Частичное (освобождение либо от таможенных пошлин и налогов, либо от таможенных пошлин, либо от налогов)</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Нет</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Вид транспорта, на котором осуществляется перемещение товаров через таможенную границу Кыргызской Республики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Автомобильный</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Авиа</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Железнодорожный</w:t>
            </w:r>
          </w:p>
        </w:tc>
      </w:tr>
      <w:tr w:rsidR="00930F99" w:rsidRPr="00930F99" w:rsidTr="00930F99">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нарушений таможенного законодательства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Неуплата и (или) не полная уплата таможенных платежей более 200,0 тыс.сомов</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Неуплата и (или) не полная уплата таможенных платежей менее 200,0 тыс.сомов</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Отсутствуют, либо нарушения, не предусмотренные предыдущими графами</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Критерии рисков анализируются за 12 месяцев, предшествующих составлению квартального плана.</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5" w:name="g14"/>
      <w:bookmarkEnd w:id="15"/>
      <w:r w:rsidRPr="00930F99">
        <w:rPr>
          <w:rFonts w:ascii="Arial" w:eastAsia="Times New Roman" w:hAnsi="Arial" w:cs="Arial"/>
          <w:b/>
          <w:bCs/>
          <w:sz w:val="24"/>
          <w:szCs w:val="24"/>
          <w:lang w:eastAsia="ru-RU"/>
        </w:rPr>
        <w:t>Глава 14. Критерии оценки степени риска предпринимательской деятельности в сфере охраны труда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56. Критерии оценки степени риска предпринимательской деятельности в сфере охраны труда:</w:t>
      </w:r>
    </w:p>
    <w:tbl>
      <w:tblPr>
        <w:tblW w:w="0" w:type="auto"/>
        <w:tblCellMar>
          <w:left w:w="0" w:type="dxa"/>
          <w:right w:w="0" w:type="dxa"/>
        </w:tblCellMar>
        <w:tblLook w:val="04A0" w:firstRow="1" w:lastRow="0" w:firstColumn="1" w:lastColumn="0" w:noHBand="0" w:noVBand="1"/>
      </w:tblPr>
      <w:tblGrid>
        <w:gridCol w:w="361"/>
        <w:gridCol w:w="2603"/>
        <w:gridCol w:w="5711"/>
        <w:gridCol w:w="896"/>
      </w:tblGrid>
      <w:tr w:rsidR="00930F99" w:rsidRPr="00930F99" w:rsidTr="00930F99">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lastRenderedPageBreak/>
              <w:t>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 риска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Сектор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Строительство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Химическое производство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Горнорудный комбинат, добыча и освоение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Производство электроэнергии и высоковольтные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Металлообработка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Сельскохозяйственные работы (переработка)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Деревообработка (производство изделий и материалов)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Предприятия автомобильного транспорта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Легкая промышленность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Торговля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Все остальные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Масштаб/размер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Более 1000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500-1000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100-499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10-99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Менее 10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Специфические или технические факторы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Высотные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Использование строительного башенного крана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Использование техники повышенной опасности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Работы с тяжелыми и вредными условиями труда (Перечень, определенный законодательством Кыргызской Республики)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Литейные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Работа с электричеством свыше 1000 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Применение труда лиц до 18 лет и/или лиц с ограниченными возможностями здоровья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Работы в высокогорных районах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Сезонные и временные работы, связанные с предоставлением услуг и обслуживанием населения (общепит, летние кафе и т.п.)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Круглосуточные работы, работа в ночное время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Все остальные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Результаты проведенных проверок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15 и более нарушений в год. Наличие обращений работников с жалобами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15 и более нарушений. Нарушения устранены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Менее 15 нарушений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Нет нарушений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Несчастные случаи: два и более несчастных случаев в год, со смертельным и тяжелым исходом, групповые случаи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Три и более несчастных случаев с легким исходом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Один случай в течение 5 лет со смертельным исходом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Один случай в течение 5 лет с тяжелым исходом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Один групповой несчастный случай в течение 5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Один случай в течение 3 лет с легким исходом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6" w:name="g15"/>
      <w:bookmarkEnd w:id="16"/>
      <w:r w:rsidRPr="00930F99">
        <w:rPr>
          <w:rFonts w:ascii="Arial" w:eastAsia="Times New Roman" w:hAnsi="Arial" w:cs="Arial"/>
          <w:b/>
          <w:bCs/>
          <w:sz w:val="24"/>
          <w:szCs w:val="24"/>
          <w:lang w:eastAsia="ru-RU"/>
        </w:rPr>
        <w:lastRenderedPageBreak/>
        <w:t>Глава 15. Критерии оценки степени риска предпринимательской деятельности в сфере финансового рынка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57. Критерии оценки степени риска предпринимательской деятельности страховых организаций, негосударственного пенсионного фонда, организаторов стимулирующей и профессиональной лотереи:</w:t>
      </w:r>
    </w:p>
    <w:tbl>
      <w:tblPr>
        <w:tblW w:w="5000" w:type="pct"/>
        <w:tblCellMar>
          <w:left w:w="0" w:type="dxa"/>
          <w:right w:w="0" w:type="dxa"/>
        </w:tblCellMar>
        <w:tblLook w:val="04A0" w:firstRow="1" w:lastRow="0" w:firstColumn="1" w:lastColumn="0" w:noHBand="0" w:noVBand="1"/>
      </w:tblPr>
      <w:tblGrid>
        <w:gridCol w:w="361"/>
        <w:gridCol w:w="2666"/>
        <w:gridCol w:w="3259"/>
        <w:gridCol w:w="3285"/>
      </w:tblGrid>
      <w:tr w:rsidR="00930F99" w:rsidRPr="00930F99" w:rsidTr="00930F99">
        <w:tc>
          <w:tcPr>
            <w:tcW w:w="1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43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Степень риска</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Высокая</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Средняя</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70 баллов</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40</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Страхование особо опасных объектов</w:t>
            </w: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штате страхователя состоит более 20 человек</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штате страхователя состоит менее 20 человек</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Обязательные или добровольные виды страхования</w:t>
            </w: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Обязательные виды страхования</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Добровольные виды страхования</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483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(Утратил силу в соответствии с </w:t>
            </w:r>
            <w:hyperlink r:id="rId39" w:history="1">
              <w:r w:rsidRPr="00930F99">
                <w:rPr>
                  <w:rFonts w:ascii="Arial" w:eastAsia="Times New Roman" w:hAnsi="Arial" w:cs="Arial"/>
                  <w:i/>
                  <w:iCs/>
                  <w:color w:val="0000FF"/>
                  <w:sz w:val="20"/>
                  <w:szCs w:val="20"/>
                  <w:u w:val="single"/>
                  <w:lang w:eastAsia="ru-RU"/>
                </w:rPr>
                <w:t>постановлением</w:t>
              </w:r>
            </w:hyperlink>
            <w:r w:rsidRPr="00930F99">
              <w:rPr>
                <w:rFonts w:ascii="Arial" w:eastAsia="Times New Roman" w:hAnsi="Arial" w:cs="Arial"/>
                <w:i/>
                <w:iCs/>
                <w:sz w:val="20"/>
                <w:szCs w:val="20"/>
                <w:lang w:eastAsia="ru-RU"/>
              </w:rPr>
              <w:t xml:space="preserve"> Правительства КР от 30 июля 2015 года № 543)</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вкладчиков в негосударственном пенсионном фонде</w:t>
            </w: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Свыше 50 человек</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50 человек</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Объем призового фонда для лотерейной деятельности</w:t>
            </w:r>
          </w:p>
        </w:tc>
        <w:tc>
          <w:tcPr>
            <w:tcW w:w="171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Свыше 100000 тыс.сом.</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50000 тыс.сом.</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При наличии более двух жалоб в календарном году о несоблюдении субъектом предпринимательства законодательства Кыргызской Республики, субъект перемещается в более высокую степень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 случае, если выявленные в результате проверок нарушения не устранены, субъект перемещается в более высокую степень риска.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58. Критерии оценки степени риска предпринимательской деятельности эмитентов ценных бумаг:</w:t>
      </w:r>
    </w:p>
    <w:tbl>
      <w:tblPr>
        <w:tblW w:w="5000" w:type="pct"/>
        <w:tblCellMar>
          <w:left w:w="0" w:type="dxa"/>
          <w:right w:w="0" w:type="dxa"/>
        </w:tblCellMar>
        <w:tblLook w:val="04A0" w:firstRow="1" w:lastRow="0" w:firstColumn="1" w:lastColumn="0" w:noHBand="0" w:noVBand="1"/>
      </w:tblPr>
      <w:tblGrid>
        <w:gridCol w:w="361"/>
        <w:gridCol w:w="1686"/>
        <w:gridCol w:w="2550"/>
        <w:gridCol w:w="2469"/>
        <w:gridCol w:w="2505"/>
      </w:tblGrid>
      <w:tr w:rsidR="00930F99" w:rsidRPr="00930F99" w:rsidTr="00930F99">
        <w:tc>
          <w:tcPr>
            <w:tcW w:w="1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8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96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14 баллов</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10 баллов</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5 баллов</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эмиссий</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2 до 3</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Учредительный выпуск ценных бумаг</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владельцев ценных бумаг</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200</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70 до 200</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70</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порядка раскрытия информации на рынке ценных бумаг и проведение общих собраний акционеров</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Наличие 2 и более случаев в календарном году непредставления, несвоевременного представления отчетности, либо представление отчетности содержащей недостоверные и неполные данные, нарушения требований законодательства по </w:t>
            </w:r>
            <w:r w:rsidRPr="00930F99">
              <w:rPr>
                <w:rFonts w:ascii="Arial" w:eastAsia="Times New Roman" w:hAnsi="Arial" w:cs="Arial"/>
                <w:sz w:val="20"/>
                <w:szCs w:val="20"/>
                <w:lang w:eastAsia="ru-RU"/>
              </w:rPr>
              <w:lastRenderedPageBreak/>
              <w:t>раскрытию информации на рынке ценных бумаг, а также непроведение по итогам года общего собрания акционеров</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xml:space="preserve">Наличие 1 случая в календарном году непредставления, несвоевременного представления отчетности, либо представление отчетности, содержащей недостоверные и неполные данные, нарушения требований </w:t>
            </w:r>
            <w:r w:rsidRPr="00930F99">
              <w:rPr>
                <w:rFonts w:ascii="Arial" w:eastAsia="Times New Roman" w:hAnsi="Arial" w:cs="Arial"/>
                <w:sz w:val="20"/>
                <w:szCs w:val="20"/>
                <w:lang w:eastAsia="ru-RU"/>
              </w:rPr>
              <w:lastRenderedPageBreak/>
              <w:t>законодательства по раскрытию информации на рынке ценных бумаг, а также нарушение сроков и порядка проведения общего собрания акционеров</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xml:space="preserve">Соблюдение требований законодательства Кыргызской Республики относительно порядка и сроков предоставления отчетности и раскрытия информации на рынке ценных бумаг, а также проведение общего собрания акционеров в сроки и порядке, </w:t>
            </w:r>
            <w:r w:rsidRPr="00930F99">
              <w:rPr>
                <w:rFonts w:ascii="Arial" w:eastAsia="Times New Roman" w:hAnsi="Arial" w:cs="Arial"/>
                <w:sz w:val="20"/>
                <w:szCs w:val="20"/>
                <w:lang w:eastAsia="ru-RU"/>
              </w:rPr>
              <w:lastRenderedPageBreak/>
              <w:t>установленные законодательством Кыргызской Республики</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4</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Итоги предыдущих проверок</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Выявлены значительные нарушения:</w:t>
            </w:r>
            <w:r w:rsidRPr="00930F99">
              <w:rPr>
                <w:rFonts w:ascii="Arial" w:eastAsia="Times New Roman" w:hAnsi="Arial" w:cs="Arial"/>
                <w:sz w:val="20"/>
                <w:szCs w:val="20"/>
                <w:lang w:eastAsia="ru-RU"/>
              </w:rPr>
              <w:br/>
              <w:t>- материалы проверок переданы в правоохранительные органы, либо по выявленным нарушениям идут судебные разбирательства;</w:t>
            </w:r>
            <w:r w:rsidRPr="00930F99">
              <w:rPr>
                <w:rFonts w:ascii="Arial" w:eastAsia="Times New Roman" w:hAnsi="Arial" w:cs="Arial"/>
                <w:sz w:val="20"/>
                <w:szCs w:val="20"/>
                <w:lang w:eastAsia="ru-RU"/>
              </w:rPr>
              <w:br/>
              <w:t>- неисполнение требований уполномоченного государственного органа по регулированию рынка ценных бумаг;</w:t>
            </w:r>
            <w:r w:rsidRPr="00930F99">
              <w:rPr>
                <w:rFonts w:ascii="Arial" w:eastAsia="Times New Roman" w:hAnsi="Arial" w:cs="Arial"/>
                <w:sz w:val="20"/>
                <w:szCs w:val="20"/>
                <w:lang w:eastAsia="ru-RU"/>
              </w:rPr>
              <w:br/>
              <w:t>- по итогам предыдущей проверки были применены меры административного взыскания;</w:t>
            </w:r>
            <w:r w:rsidRPr="00930F99">
              <w:rPr>
                <w:rFonts w:ascii="Arial" w:eastAsia="Times New Roman" w:hAnsi="Arial" w:cs="Arial"/>
                <w:sz w:val="20"/>
                <w:szCs w:val="20"/>
                <w:lang w:eastAsia="ru-RU"/>
              </w:rPr>
              <w:br/>
              <w:t>- невыплата начисленных дивидендов/доходов, либо нарушение порядка их выплаты;</w:t>
            </w:r>
            <w:r w:rsidRPr="00930F99">
              <w:rPr>
                <w:rFonts w:ascii="Arial" w:eastAsia="Times New Roman" w:hAnsi="Arial" w:cs="Arial"/>
                <w:sz w:val="20"/>
                <w:szCs w:val="20"/>
                <w:lang w:eastAsia="ru-RU"/>
              </w:rPr>
              <w:br/>
              <w:t>- совершение крупных и заинтересованных сделок с имуществом общества в нарушение требований законодательства Кыргызской Республики;</w:t>
            </w:r>
            <w:r w:rsidRPr="00930F99">
              <w:rPr>
                <w:rFonts w:ascii="Arial" w:eastAsia="Times New Roman" w:hAnsi="Arial" w:cs="Arial"/>
                <w:sz w:val="20"/>
                <w:szCs w:val="20"/>
                <w:lang w:eastAsia="ru-RU"/>
              </w:rPr>
              <w:br/>
              <w:t>- ущемление прав акционеров общества, непроведение общих собраний акционеров, нарушение порядка избрания органов управления обществом</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Выявлены незначительные нарушения:</w:t>
            </w:r>
            <w:r w:rsidRPr="00930F99">
              <w:rPr>
                <w:rFonts w:ascii="Arial" w:eastAsia="Times New Roman" w:hAnsi="Arial" w:cs="Arial"/>
                <w:sz w:val="20"/>
                <w:szCs w:val="20"/>
                <w:lang w:eastAsia="ru-RU"/>
              </w:rPr>
              <w:br/>
              <w:t>- по итогам проверки было направлено уведомление или предписание об устранении выявленных нарушений, либо о недопущении нарушений законодательства Кыргызской Республики;</w:t>
            </w:r>
            <w:r w:rsidRPr="00930F99">
              <w:rPr>
                <w:rFonts w:ascii="Arial" w:eastAsia="Times New Roman" w:hAnsi="Arial" w:cs="Arial"/>
                <w:sz w:val="20"/>
                <w:szCs w:val="20"/>
                <w:lang w:eastAsia="ru-RU"/>
              </w:rPr>
              <w:br/>
              <w:t>- нарушения выявлены, но устранены в установленные уполномоченным государственным органом сроки</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не выявлены</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Обоснованные жалобы лиц о несоблюдении обществом законодатель- </w:t>
            </w:r>
            <w:r w:rsidRPr="00930F99">
              <w:rPr>
                <w:rFonts w:ascii="Arial" w:eastAsia="Times New Roman" w:hAnsi="Arial" w:cs="Arial"/>
                <w:sz w:val="20"/>
                <w:szCs w:val="20"/>
                <w:lang w:eastAsia="ru-RU"/>
              </w:rPr>
              <w:lastRenderedPageBreak/>
              <w:t>ства Кыргызской Республики</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2 и более обращений в календарном году</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обращение в календарном году</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Нет</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6</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Совершение крупных сделок</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Сумма крупных сделок в календарном году составляет более 70% от балансовой стоимости активов общества</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Сумма крупных сделок в календарном году составляет от 20% до 70% от балансовой стоимости активов общества</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Сумма крупных сделок в календарном году составляет менее 20% от балансовой стоимости активов общества</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Дивиденды общества</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дивидендов либо нарушение сроков и порядка выплаты начисленных дивидендов</w:t>
            </w:r>
          </w:p>
        </w:tc>
        <w:tc>
          <w:tcPr>
            <w:tcW w:w="130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Выплата дивидендов на одну акцию менее 15% от стоимости ценной бумаги</w:t>
            </w:r>
          </w:p>
        </w:tc>
        <w:tc>
          <w:tcPr>
            <w:tcW w:w="1320"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Без нарушений</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59. Критерии оценки степени риска предпринимательской деятельности профессиональных участников рынка ценных бумаг:</w:t>
      </w:r>
    </w:p>
    <w:tbl>
      <w:tblPr>
        <w:tblW w:w="5000" w:type="pct"/>
        <w:tblCellMar>
          <w:left w:w="0" w:type="dxa"/>
          <w:right w:w="0" w:type="dxa"/>
        </w:tblCellMar>
        <w:tblLook w:val="04A0" w:firstRow="1" w:lastRow="0" w:firstColumn="1" w:lastColumn="0" w:noHBand="0" w:noVBand="1"/>
      </w:tblPr>
      <w:tblGrid>
        <w:gridCol w:w="361"/>
        <w:gridCol w:w="2192"/>
        <w:gridCol w:w="2532"/>
        <w:gridCol w:w="2474"/>
        <w:gridCol w:w="2012"/>
      </w:tblGrid>
      <w:tr w:rsidR="00930F99" w:rsidRPr="00930F99" w:rsidTr="00930F99">
        <w:tc>
          <w:tcPr>
            <w:tcW w:w="1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10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383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риска/Баллы</w:t>
            </w:r>
          </w:p>
        </w:tc>
      </w:tr>
      <w:tr w:rsidR="00930F99" w:rsidRPr="00930F99" w:rsidTr="00930F99">
        <w:tc>
          <w:tcPr>
            <w:tcW w:w="0" w:type="auto"/>
            <w:vMerge/>
            <w:tcBorders>
              <w:top w:val="single" w:sz="8" w:space="0" w:color="auto"/>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20 баллов</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14 баллов</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8 баллов</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лицензий</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и более</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и более</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порядка раскрытия информации на рынке ценных бумаг</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2 и более случаев в календарном году непредставления, несвоевременного представления отчетности, либо представления отчетности, содержащей недостоверные и неполные данные, нарушения требований законодательства по раскрытию информации на рынке ценных бумаг</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1 случая в календарном году непредставления, несвоевременного представления отчетности, либо представление отчетности, содержащей недостоверные и неполные данные, нарушения требований законодательства по раскрытию информации на рынке ценных бумаг</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Соблюдение требований законодательства Кыргызской Республики относительно порядка и сроков предоставления отчетности и раскрытия информации на рынке ценных бумаг</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Итоги предыдущих проверок</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Выявлены значительные нарушения:</w:t>
            </w:r>
            <w:r w:rsidRPr="00930F99">
              <w:rPr>
                <w:rFonts w:ascii="Arial" w:eastAsia="Times New Roman" w:hAnsi="Arial" w:cs="Arial"/>
                <w:sz w:val="20"/>
                <w:szCs w:val="20"/>
                <w:lang w:eastAsia="ru-RU"/>
              </w:rPr>
              <w:br/>
              <w:t>- материалы проверок переданы в правоохранительные органы, либо по выявленным нарушениям идут судебные разбирательства;</w:t>
            </w:r>
            <w:r w:rsidRPr="00930F99">
              <w:rPr>
                <w:rFonts w:ascii="Arial" w:eastAsia="Times New Roman" w:hAnsi="Arial" w:cs="Arial"/>
                <w:sz w:val="20"/>
                <w:szCs w:val="20"/>
                <w:lang w:eastAsia="ru-RU"/>
              </w:rPr>
              <w:br/>
              <w:t xml:space="preserve">- неисполнение требований уполномоченного государственного </w:t>
            </w:r>
            <w:r w:rsidRPr="00930F99">
              <w:rPr>
                <w:rFonts w:ascii="Arial" w:eastAsia="Times New Roman" w:hAnsi="Arial" w:cs="Arial"/>
                <w:sz w:val="20"/>
                <w:szCs w:val="20"/>
                <w:lang w:eastAsia="ru-RU"/>
              </w:rPr>
              <w:lastRenderedPageBreak/>
              <w:t>органа по регулированию рынка ценных бумаг;</w:t>
            </w:r>
            <w:r w:rsidRPr="00930F99">
              <w:rPr>
                <w:rFonts w:ascii="Arial" w:eastAsia="Times New Roman" w:hAnsi="Arial" w:cs="Arial"/>
                <w:sz w:val="20"/>
                <w:szCs w:val="20"/>
                <w:lang w:eastAsia="ru-RU"/>
              </w:rPr>
              <w:br/>
              <w:t>- по итогам предыдущей проверки были применены меры административного взыскания; манипуляции ценами на ценные бумаги; использование средств и активов клиентов в нарушение законодательства; несоблюдение требований по достаточности капитала</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Выявлены незначительные нарушения:</w:t>
            </w:r>
            <w:r w:rsidRPr="00930F99">
              <w:rPr>
                <w:rFonts w:ascii="Arial" w:eastAsia="Times New Roman" w:hAnsi="Arial" w:cs="Arial"/>
                <w:sz w:val="20"/>
                <w:szCs w:val="20"/>
                <w:lang w:eastAsia="ru-RU"/>
              </w:rPr>
              <w:br/>
              <w:t>- по итогам проверки было направлено уведомление или предписание об устранении выявленных нарушений, либо о недопущении нарушений законодательства Кыргызской Республики;</w:t>
            </w:r>
            <w:r w:rsidRPr="00930F99">
              <w:rPr>
                <w:rFonts w:ascii="Arial" w:eastAsia="Times New Roman" w:hAnsi="Arial" w:cs="Arial"/>
                <w:sz w:val="20"/>
                <w:szCs w:val="20"/>
                <w:lang w:eastAsia="ru-RU"/>
              </w:rPr>
              <w:br/>
            </w:r>
            <w:r w:rsidRPr="00930F99">
              <w:rPr>
                <w:rFonts w:ascii="Arial" w:eastAsia="Times New Roman" w:hAnsi="Arial" w:cs="Arial"/>
                <w:sz w:val="20"/>
                <w:szCs w:val="20"/>
                <w:lang w:eastAsia="ru-RU"/>
              </w:rPr>
              <w:lastRenderedPageBreak/>
              <w:t>- нарушения выявлены, но устранены в установленные уполномоченным государственным органом сроки</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Нарушения не выявлены</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4</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Количество заключенных договоров с клиентами на оказание услуг на рынке ценных бумаг в календарном году</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50 и более</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 20 до 50</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Менее 20</w:t>
            </w:r>
          </w:p>
        </w:tc>
      </w:tr>
      <w:tr w:rsidR="00930F99" w:rsidRPr="00930F99" w:rsidTr="00930F99">
        <w:tc>
          <w:tcPr>
            <w:tcW w:w="1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Обоснованные жалобы лиц на несоблюдение профессиональными участниками рынка ценных бумаг требований законодательства Кыргызской Республики</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Более 2 обращений в календарном году</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обращение в календарном году</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Нет</w:t>
            </w:r>
          </w:p>
        </w:tc>
      </w:tr>
    </w:tbl>
    <w:p w:rsidR="00930F99" w:rsidRPr="00930F99" w:rsidRDefault="00930F99" w:rsidP="00930F99">
      <w:pPr>
        <w:spacing w:before="120"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60. Критерии оценки степени риска предпринимательской деятельности субъектов аудиторской деятельности:</w:t>
      </w:r>
    </w:p>
    <w:tbl>
      <w:tblPr>
        <w:tblW w:w="0" w:type="auto"/>
        <w:tblCellMar>
          <w:left w:w="0" w:type="dxa"/>
          <w:right w:w="0" w:type="dxa"/>
        </w:tblCellMar>
        <w:tblLook w:val="04A0" w:firstRow="1" w:lastRow="0" w:firstColumn="1" w:lastColumn="0" w:noHBand="0" w:noVBand="1"/>
      </w:tblPr>
      <w:tblGrid>
        <w:gridCol w:w="328"/>
        <w:gridCol w:w="4056"/>
        <w:gridCol w:w="4291"/>
        <w:gridCol w:w="896"/>
      </w:tblGrid>
      <w:tr w:rsidR="00930F99" w:rsidRPr="00930F99" w:rsidTr="00930F9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Наименование критерия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двух аудиторов в штате аудиторской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штате организации состоит один аудитор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 штате организации состоят два аудитора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Занятие неразрешенными видами предпринимательской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Предоставлялись неразрешенные виды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предоставлялись неразрешенные виды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Повышение квалификации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Повышение квалификации аудиторов не производилось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Повышение квалификации аудиторов производилось нерегулярно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Повышение квалификации аудиторов производилось ежегодно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Проведение обязательного или </w:t>
            </w:r>
            <w:r w:rsidRPr="00930F99">
              <w:rPr>
                <w:rFonts w:ascii="Arial" w:eastAsia="Times New Roman" w:hAnsi="Arial" w:cs="Arial"/>
                <w:sz w:val="20"/>
                <w:szCs w:val="20"/>
                <w:lang w:eastAsia="ru-RU"/>
              </w:rPr>
              <w:lastRenderedPageBreak/>
              <w:t>инициативного аудита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Проводит обязательный аудит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Проводит исключительно инициативный аудит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5</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Проведение аудита в соответствии со стандартами аудита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Проводит аудит не в соответствии с Международными стандартами аудита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Проводит аудит с частичным соблюдением MCA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Проводит аудит в соответствии с МСА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Предоставление годового отчета об аудиторской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 предоставлен годовой отчет об аудиторской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Предоставлен годовой отчет об аудиторской деятельности с нарушением срока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Предоставлен годовой отчет об аудиторской деятельности своевременно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Выявленные нарушения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не устранены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Нарушения устранены частично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Все нарушения устранены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Персонал аудиторской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Персонал состоит не более чем из 2-х человек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Персонал состоит из 2-10 человек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Персонал состоит более чем из 10 человек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Виды аудиторских заключений, выданных за 3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Только безусловно положительные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аудиторских заключений с оговоркой и/или с отказом от выражения мнения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Наличие отрицательного аудиторского заключения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7" w:name="g16"/>
      <w:bookmarkEnd w:id="17"/>
      <w:r w:rsidRPr="00930F99">
        <w:rPr>
          <w:rFonts w:ascii="Arial" w:eastAsia="Times New Roman" w:hAnsi="Arial" w:cs="Arial"/>
          <w:b/>
          <w:bCs/>
          <w:sz w:val="24"/>
          <w:szCs w:val="24"/>
          <w:lang w:eastAsia="ru-RU"/>
        </w:rPr>
        <w:t>Глава 16. Критерии оценки степени риска предпринимательской деятельности в области промышленной безопасности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61. К высокой степени риска относятся объекты: строительства, эксплуатации, расширения, реконструкции, технического перевооружения, консервации и ликвидации опасных производственных объектов (80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добычи и обогащения твердых полезных ископаемых, включая уголь, сланец, руды черных и цветных металлов, сырье горно-химической промышленности; объекты шахтного, гидротехнического и специального подземного строительства; объекты, размещаемые в подземных горных выработках и естественных подземных полостях; ведения горных работ при строительстве транспортных и коллекторных тоннелей и других подземных сооружений;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нефте- и газодобывающей, нефте- и газоперерабатывающей, химической и нефтехимической промышленности; нефтепродуктообеспечения; магистрального трубопроводного транспорта газов и горючих жидкостей;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получения, хранения (слива-налива) и применения взрывоопасных или химически опасных веществ, включая водород, хлор, аммиак, сжиженные углеводородные газы и легковоспламеняющиеся жидкости;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 производства железорудного сырья, чугуна, стали, проката, труб, ферросплавов, огнеупоров, цветных металлов и сплавов на их основе, металлических порошков и пудр, полупроводниковых материалов (германия и кремния), кокса и продуктов переработки продуктов </w:t>
      </w:r>
      <w:r w:rsidRPr="00930F99">
        <w:rPr>
          <w:rFonts w:ascii="Arial" w:eastAsia="Times New Roman" w:hAnsi="Arial" w:cs="Arial"/>
          <w:sz w:val="20"/>
          <w:szCs w:val="20"/>
          <w:lang w:eastAsia="ru-RU"/>
        </w:rPr>
        <w:lastRenderedPageBreak/>
        <w:t>коксования, серы, продуктов разделения воздуха, а также объектов газовых хозяйств металлургических и коксохимических производств;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хранения промышленных отходов (отвалы горных пород, хвосто- и шламохранилища, шламонакопители, гидроотвалы, накопители промышленных стоков);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газоснабжения природными и сжиженными углеводородными газами, используемыми в качестве топлива (кроме бытовых объектов);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взрывоопасных и пожароопасных производств по хранению и переработке зерна;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получения, хранения и применения сильнодействующих ядовитых веществ;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производства, хранения и применения взрывчатых материалов промышленного назначения, а также объекты изготовления простейших гранулированных и водосодержащих взрывчатых веществ;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изготовления, монтажа, наладки, эксплуатации, обслуживания и ремонта оборудования, работающего под избыточным давлением более 0,07 мПа (паровых котлов, сосудов, работающих под давлением пара или газа, трубопроводов пара) или при температуре нагрева воды более 115 градусов Цельсия (водогрейных котлов, сосудов, трубопроводов горячей воды), а также стационарных подъемных сооружений (стационарных грузоподъемных кранов и подвесных канатных дорог).</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62. К средней степени риска (50 баллов) относятся объекты: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при транспортировании опасных веществ субъектами предпринимательства, эксплуатирующими опасные производственные объекты;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при проведении маркшейдерских и геологоразведочных работ, в том числе работ по доразведке месторождений полезных ископаемых и геофизических работ;</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изготовления, монтажа, наладки, эксплуатации, обслуживания и ремонта подъемных сооружений (передвижных грузоподъемных кранов, кранов-манипуляторов, кранов-трубоукладчиков, лифтов, фуникулеров, подъемников (вышек), строительных подъемников, платформ подъемных для инвалидов, эскалаторов, съемных грузозахватных органов и приспособлений);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добычи полезных ископаемыx (песчано-гравийная смесь, суглинки).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63. К незначительной степени риска (25 баллов) относятся следующие объекты: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организация горноспасательных, газоспасательных, противофонтанных и других работ по предупреждению, локализации и ликвидации аварий на опасных производственных объектах;</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изготовление, монтаж, наладка, обслуживание и ремонт иных технических устройств, применяемых на опасных производственных объектах;</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проектирование опасных производственных объектов;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проведение экспертизы промышленной безопасности;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проведение подготовки и аттестации работников организаций в области промышленной безопасности.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64. При ликвидации, снижении или повышении поражающего воздействия опасного производственного фактора, послужившего основанием для отнесения объекта к более высокой или низкой степени риска, на основании проведенного анализа (состояние промышленной безопасности, сведения о произошедших авариях, инцидентах и их последствиях, опыт практической деятельности) объект переводится в группу соответствующей степени риска.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Перевод опасных производственных объектов производится на основании изучения технического состояния технических устройств (модернизация, степень износа, утилизация), объемов выполнения работ или интенсивности производства, количества работающих, географического положения.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65. Проверки в одной степени начинаются с объектов, имеющих тенденцию к росту показателей аварий и инцидентов.</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8" w:name="g17"/>
      <w:bookmarkEnd w:id="18"/>
      <w:r w:rsidRPr="00930F99">
        <w:rPr>
          <w:rFonts w:ascii="Arial" w:eastAsia="Times New Roman" w:hAnsi="Arial" w:cs="Arial"/>
          <w:b/>
          <w:bCs/>
          <w:sz w:val="24"/>
          <w:szCs w:val="24"/>
          <w:lang w:eastAsia="ru-RU"/>
        </w:rPr>
        <w:lastRenderedPageBreak/>
        <w:t>Глава 17. Критерии оценки степени риска предпринимательской деятельности в сфере использования и охраны земель</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40" w:history="1">
        <w:r w:rsidRPr="00930F99">
          <w:rPr>
            <w:rFonts w:ascii="Arial" w:eastAsia="Times New Roman" w:hAnsi="Arial" w:cs="Arial"/>
            <w:i/>
            <w:iCs/>
            <w:color w:val="0000FF"/>
            <w:sz w:val="20"/>
            <w:szCs w:val="20"/>
            <w:u w:val="single"/>
            <w:lang w:eastAsia="ru-RU"/>
          </w:rPr>
          <w:t>15 июня 2012 года N 422</w:t>
        </w:r>
      </w:hyperlink>
      <w:r w:rsidRPr="00930F99">
        <w:rPr>
          <w:rFonts w:ascii="Arial" w:eastAsia="Times New Roman" w:hAnsi="Arial" w:cs="Arial"/>
          <w:i/>
          <w:iCs/>
          <w:sz w:val="20"/>
          <w:szCs w:val="20"/>
          <w:lang w:eastAsia="ru-RU"/>
        </w:rPr>
        <w:t>)</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66. Критерии оценки степени риска предпринимательской деятельности в сфере использования и охраны земель:</w:t>
      </w:r>
    </w:p>
    <w:tbl>
      <w:tblPr>
        <w:tblW w:w="5000" w:type="pct"/>
        <w:tblCellMar>
          <w:left w:w="0" w:type="dxa"/>
          <w:right w:w="0" w:type="dxa"/>
        </w:tblCellMar>
        <w:tblLook w:val="04A0" w:firstRow="1" w:lastRow="0" w:firstColumn="1" w:lastColumn="0" w:noHBand="0" w:noVBand="1"/>
      </w:tblPr>
      <w:tblGrid>
        <w:gridCol w:w="404"/>
        <w:gridCol w:w="1755"/>
        <w:gridCol w:w="2570"/>
        <w:gridCol w:w="3782"/>
        <w:gridCol w:w="1060"/>
      </w:tblGrid>
      <w:tr w:rsidR="00930F99" w:rsidRPr="00930F99" w:rsidTr="00930F99">
        <w:tc>
          <w:tcPr>
            <w:tcW w:w="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 п</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Степень риска</w:t>
            </w:r>
          </w:p>
        </w:tc>
        <w:tc>
          <w:tcPr>
            <w:tcW w:w="1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Факты риска</w:t>
            </w:r>
          </w:p>
        </w:tc>
        <w:tc>
          <w:tcPr>
            <w:tcW w:w="20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Виды ожидаемого риска</w:t>
            </w:r>
          </w:p>
        </w:tc>
        <w:tc>
          <w:tcPr>
            <w:tcW w:w="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c>
          <w:tcPr>
            <w:tcW w:w="2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80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степень риска</w:t>
            </w: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 Земельные участки, расположенные под магистральными трубопроводами и газопроводами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и срыв продовольственного обеспечения населения;</w:t>
            </w:r>
            <w:r w:rsidRPr="00930F99">
              <w:rPr>
                <w:rFonts w:ascii="Arial" w:eastAsia="Times New Roman" w:hAnsi="Arial" w:cs="Arial"/>
                <w:sz w:val="20"/>
                <w:szCs w:val="20"/>
                <w:lang w:eastAsia="ru-RU"/>
              </w:rPr>
              <w:br/>
              <w:t>- порча земель;</w:t>
            </w:r>
            <w:r w:rsidRPr="00930F99">
              <w:rPr>
                <w:rFonts w:ascii="Arial" w:eastAsia="Times New Roman" w:hAnsi="Arial" w:cs="Arial"/>
                <w:sz w:val="20"/>
                <w:szCs w:val="20"/>
                <w:lang w:eastAsia="ru-RU"/>
              </w:rPr>
              <w:br/>
              <w:t>- неуплата за возмещение потерь сельскохозяйственного производства</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2. Объекты по разработке месторождений полезных ископаемых открытым способом (золото, цветные металлы, соль, уголь, гипс, мрамор и др.)</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жизненным интересам граждан, юридическим лицам и государству;</w:t>
            </w:r>
            <w:r w:rsidRPr="00930F99">
              <w:rPr>
                <w:rFonts w:ascii="Arial" w:eastAsia="Times New Roman" w:hAnsi="Arial" w:cs="Arial"/>
                <w:sz w:val="20"/>
                <w:szCs w:val="20"/>
                <w:lang w:eastAsia="ru-RU"/>
              </w:rPr>
              <w:br/>
              <w:t>- порча земель;</w:t>
            </w:r>
            <w:r w:rsidRPr="00930F99">
              <w:rPr>
                <w:rFonts w:ascii="Arial" w:eastAsia="Times New Roman" w:hAnsi="Arial" w:cs="Arial"/>
                <w:sz w:val="20"/>
                <w:szCs w:val="20"/>
                <w:lang w:eastAsia="ru-RU"/>
              </w:rPr>
              <w:br/>
              <w:t>- неуплата за возмещение потерь сельскохозяйственного производства;</w:t>
            </w:r>
            <w:r w:rsidRPr="00930F99">
              <w:rPr>
                <w:rFonts w:ascii="Arial" w:eastAsia="Times New Roman" w:hAnsi="Arial" w:cs="Arial"/>
                <w:sz w:val="20"/>
                <w:szCs w:val="20"/>
                <w:lang w:eastAsia="ru-RU"/>
              </w:rPr>
              <w:br/>
              <w:t>- неисполнение рекультивации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3. Карьерные работы по разработке суглинка, гравия, песка, бутовых камней и др. для строительных целей</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Порча земель;</w:t>
            </w:r>
            <w:r w:rsidRPr="00930F99">
              <w:rPr>
                <w:rFonts w:ascii="Arial" w:eastAsia="Times New Roman" w:hAnsi="Arial" w:cs="Arial"/>
                <w:sz w:val="20"/>
                <w:szCs w:val="20"/>
                <w:lang w:eastAsia="ru-RU"/>
              </w:rPr>
              <w:br/>
              <w:t>- угроза возникновения обвала и оползня;</w:t>
            </w:r>
            <w:r w:rsidRPr="00930F99">
              <w:rPr>
                <w:rFonts w:ascii="Arial" w:eastAsia="Times New Roman" w:hAnsi="Arial" w:cs="Arial"/>
                <w:sz w:val="20"/>
                <w:szCs w:val="20"/>
                <w:lang w:eastAsia="ru-RU"/>
              </w:rPr>
              <w:br/>
              <w:t>- порча плодородного слоя земли;</w:t>
            </w:r>
            <w:r w:rsidRPr="00930F99">
              <w:rPr>
                <w:rFonts w:ascii="Arial" w:eastAsia="Times New Roman" w:hAnsi="Arial" w:cs="Arial"/>
                <w:sz w:val="20"/>
                <w:szCs w:val="20"/>
                <w:lang w:eastAsia="ru-RU"/>
              </w:rPr>
              <w:br/>
              <w:t>- неуплата за возмещение потерь сельскохозяйственного производства;</w:t>
            </w:r>
            <w:r w:rsidRPr="00930F99">
              <w:rPr>
                <w:rFonts w:ascii="Arial" w:eastAsia="Times New Roman" w:hAnsi="Arial" w:cs="Arial"/>
                <w:sz w:val="20"/>
                <w:szCs w:val="20"/>
                <w:lang w:eastAsia="ru-RU"/>
              </w:rPr>
              <w:br/>
              <w:t>- нецелевое использование земель</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4. Земельные участки, расположенные под хранилищами нефти и нефтепродуктов, заправочными станциями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возникновения опасности для жизни людей и окружающей среды;</w:t>
            </w:r>
            <w:r w:rsidRPr="00930F99">
              <w:rPr>
                <w:rFonts w:ascii="Arial" w:eastAsia="Times New Roman" w:hAnsi="Arial" w:cs="Arial"/>
                <w:sz w:val="20"/>
                <w:szCs w:val="20"/>
                <w:lang w:eastAsia="ru-RU"/>
              </w:rPr>
              <w:br/>
              <w:t>- угроза срыва продовольственной безопасности;</w:t>
            </w:r>
            <w:r w:rsidRPr="00930F99">
              <w:rPr>
                <w:rFonts w:ascii="Arial" w:eastAsia="Times New Roman" w:hAnsi="Arial" w:cs="Arial"/>
                <w:sz w:val="20"/>
                <w:szCs w:val="20"/>
                <w:lang w:eastAsia="ru-RU"/>
              </w:rPr>
              <w:br/>
              <w:t>- угроза возникновения недовольства населения</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5. Земельные участки, расположенные под промышленными и производственными объектами (химические заводы, цементно-шиферные заводы, стекольные заводы, по выпуску ж/б изделий и др.)</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срыва продовольственной, народнохозяйственной безопасности;</w:t>
            </w:r>
            <w:r w:rsidRPr="00930F99">
              <w:rPr>
                <w:rFonts w:ascii="Arial" w:eastAsia="Times New Roman" w:hAnsi="Arial" w:cs="Arial"/>
                <w:sz w:val="20"/>
                <w:szCs w:val="20"/>
                <w:lang w:eastAsia="ru-RU"/>
              </w:rPr>
              <w:br/>
              <w:t>- угроза возникновения опасности для жизни людей;</w:t>
            </w:r>
            <w:r w:rsidRPr="00930F99">
              <w:rPr>
                <w:rFonts w:ascii="Arial" w:eastAsia="Times New Roman" w:hAnsi="Arial" w:cs="Arial"/>
                <w:sz w:val="20"/>
                <w:szCs w:val="20"/>
                <w:lang w:eastAsia="ru-RU"/>
              </w:rPr>
              <w:br/>
              <w:t>- возникновение опасности экологической безопасности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6. Земельные участки, расположенные под крупными и малыми </w:t>
            </w:r>
            <w:r w:rsidRPr="00930F99">
              <w:rPr>
                <w:rFonts w:ascii="Arial" w:eastAsia="Times New Roman" w:hAnsi="Arial" w:cs="Arial"/>
                <w:sz w:val="20"/>
                <w:szCs w:val="20"/>
                <w:lang w:eastAsia="ru-RU"/>
              </w:rPr>
              <w:lastRenderedPageBreak/>
              <w:t>ГЭС, высоковольтными линиями электропередачи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Угроза срыва продовольственной, народнохозяйственной безопасности;</w:t>
            </w:r>
            <w:r w:rsidRPr="00930F99">
              <w:rPr>
                <w:rFonts w:ascii="Arial" w:eastAsia="Times New Roman" w:hAnsi="Arial" w:cs="Arial"/>
                <w:sz w:val="20"/>
                <w:szCs w:val="20"/>
                <w:lang w:eastAsia="ru-RU"/>
              </w:rPr>
              <w:br/>
              <w:t xml:space="preserve">- угроза прорыва водохранилищ, и </w:t>
            </w:r>
            <w:r w:rsidRPr="00930F99">
              <w:rPr>
                <w:rFonts w:ascii="Arial" w:eastAsia="Times New Roman" w:hAnsi="Arial" w:cs="Arial"/>
                <w:sz w:val="20"/>
                <w:szCs w:val="20"/>
                <w:lang w:eastAsia="ru-RU"/>
              </w:rPr>
              <w:lastRenderedPageBreak/>
              <w:t>водных бассейнов;</w:t>
            </w:r>
            <w:r w:rsidRPr="00930F99">
              <w:rPr>
                <w:rFonts w:ascii="Arial" w:eastAsia="Times New Roman" w:hAnsi="Arial" w:cs="Arial"/>
                <w:sz w:val="20"/>
                <w:szCs w:val="20"/>
                <w:lang w:eastAsia="ru-RU"/>
              </w:rPr>
              <w:br/>
              <w:t>- угроза возникновение опасности для жизни людей;</w:t>
            </w:r>
            <w:r w:rsidRPr="00930F99">
              <w:rPr>
                <w:rFonts w:ascii="Arial" w:eastAsia="Times New Roman" w:hAnsi="Arial" w:cs="Arial"/>
                <w:sz w:val="20"/>
                <w:szCs w:val="20"/>
                <w:lang w:eastAsia="ru-RU"/>
              </w:rPr>
              <w:br/>
              <w:t>- порча земель;</w:t>
            </w:r>
            <w:r w:rsidRPr="00930F99">
              <w:rPr>
                <w:rFonts w:ascii="Arial" w:eastAsia="Times New Roman" w:hAnsi="Arial" w:cs="Arial"/>
                <w:sz w:val="20"/>
                <w:szCs w:val="20"/>
                <w:lang w:eastAsia="ru-RU"/>
              </w:rPr>
              <w:br/>
              <w:t>- возникновение опасности оползней и обвалов;</w:t>
            </w:r>
            <w:r w:rsidRPr="00930F99">
              <w:rPr>
                <w:rFonts w:ascii="Arial" w:eastAsia="Times New Roman" w:hAnsi="Arial" w:cs="Arial"/>
                <w:sz w:val="20"/>
                <w:szCs w:val="20"/>
                <w:lang w:eastAsia="ru-RU"/>
              </w:rPr>
              <w:br/>
              <w:t>- угроза возникновения пожарной безопасности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80</w:t>
            </w:r>
          </w:p>
        </w:tc>
      </w:tr>
      <w:tr w:rsidR="00930F99" w:rsidRPr="00930F99" w:rsidTr="00930F99">
        <w:tc>
          <w:tcPr>
            <w:tcW w:w="2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2</w:t>
            </w:r>
          </w:p>
        </w:tc>
        <w:tc>
          <w:tcPr>
            <w:tcW w:w="80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Средняя степень риска</w:t>
            </w: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7. Субъекты предпринимательства ведущие деятельность в сфере использования земель сельскохозяйственного назначения на склонах гор, на расчлененной местности рельефа, на местности с уклоном более 20 градусов, по производству сельхозпродукции (пшеницы, ячменя, проса, многолетних трав, плодово-ягодных культур и др.)</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заболачиваемости земель, угроза занижения плодородности почв из-за отсутствия севооборота, нецелевое использование земель;</w:t>
            </w:r>
            <w:r w:rsidRPr="00930F99">
              <w:rPr>
                <w:rFonts w:ascii="Arial" w:eastAsia="Times New Roman" w:hAnsi="Arial" w:cs="Arial"/>
                <w:sz w:val="20"/>
                <w:szCs w:val="20"/>
                <w:lang w:eastAsia="ru-RU"/>
              </w:rPr>
              <w:br/>
              <w:t>- угроза возникновения оползней и обвалов;</w:t>
            </w:r>
            <w:r w:rsidRPr="00930F99">
              <w:rPr>
                <w:rFonts w:ascii="Arial" w:eastAsia="Times New Roman" w:hAnsi="Arial" w:cs="Arial"/>
                <w:sz w:val="20"/>
                <w:szCs w:val="20"/>
                <w:lang w:eastAsia="ru-RU"/>
              </w:rPr>
              <w:br/>
              <w:t>- угроза срыва продовольственной программы;</w:t>
            </w:r>
            <w:r w:rsidRPr="00930F99">
              <w:rPr>
                <w:rFonts w:ascii="Arial" w:eastAsia="Times New Roman" w:hAnsi="Arial" w:cs="Arial"/>
                <w:sz w:val="20"/>
                <w:szCs w:val="20"/>
                <w:lang w:eastAsia="ru-RU"/>
              </w:rPr>
              <w:br/>
              <w:t>- порча земель;</w:t>
            </w:r>
            <w:r w:rsidRPr="00930F99">
              <w:rPr>
                <w:rFonts w:ascii="Arial" w:eastAsia="Times New Roman" w:hAnsi="Arial" w:cs="Arial"/>
                <w:sz w:val="20"/>
                <w:szCs w:val="20"/>
                <w:lang w:eastAsia="ru-RU"/>
              </w:rPr>
              <w:br/>
              <w:t>- угроза окружающей среде, уничтожение плодородного слоя земли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8. Производство сельскохозяйственных культур для получения кормов для скота и птиц, кормовых добавок на земельных участках, расположенных на уклонах, песчанистых грунтах близких к эрозии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Порча земель и плодородного слоя и возникновение эрозии почвы;</w:t>
            </w:r>
            <w:r w:rsidRPr="00930F99">
              <w:rPr>
                <w:rFonts w:ascii="Arial" w:eastAsia="Times New Roman" w:hAnsi="Arial" w:cs="Arial"/>
                <w:sz w:val="20"/>
                <w:szCs w:val="20"/>
                <w:lang w:eastAsia="ru-RU"/>
              </w:rPr>
              <w:br/>
              <w:t>- угроза возникновения заболачиваемости;</w:t>
            </w:r>
            <w:r w:rsidRPr="00930F99">
              <w:rPr>
                <w:rFonts w:ascii="Arial" w:eastAsia="Times New Roman" w:hAnsi="Arial" w:cs="Arial"/>
                <w:sz w:val="20"/>
                <w:szCs w:val="20"/>
                <w:lang w:eastAsia="ru-RU"/>
              </w:rPr>
              <w:br/>
              <w:t>- опасность возникновения водной эрозии и смыва плодородного слоя земли;</w:t>
            </w:r>
            <w:r w:rsidRPr="00930F99">
              <w:rPr>
                <w:rFonts w:ascii="Arial" w:eastAsia="Times New Roman" w:hAnsi="Arial" w:cs="Arial"/>
                <w:sz w:val="20"/>
                <w:szCs w:val="20"/>
                <w:lang w:eastAsia="ru-RU"/>
              </w:rPr>
              <w:br/>
              <w:t>- угроза возникновения оползня</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9. Строительство и эксплуатация автомобильных, железнодорожных дорог и дорожных объектов республики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окружающей среде;</w:t>
            </w:r>
            <w:r w:rsidRPr="00930F99">
              <w:rPr>
                <w:rFonts w:ascii="Arial" w:eastAsia="Times New Roman" w:hAnsi="Arial" w:cs="Arial"/>
                <w:sz w:val="20"/>
                <w:szCs w:val="20"/>
                <w:lang w:eastAsia="ru-RU"/>
              </w:rPr>
              <w:br/>
              <w:t>- угроза возникновения обвалов и оползней;</w:t>
            </w:r>
            <w:r w:rsidRPr="00930F99">
              <w:rPr>
                <w:rFonts w:ascii="Arial" w:eastAsia="Times New Roman" w:hAnsi="Arial" w:cs="Arial"/>
                <w:sz w:val="20"/>
                <w:szCs w:val="20"/>
                <w:lang w:eastAsia="ru-RU"/>
              </w:rPr>
              <w:br/>
              <w:t>- порча земель и уничтожение плодородного слоя земли;</w:t>
            </w:r>
            <w:r w:rsidRPr="00930F99">
              <w:rPr>
                <w:rFonts w:ascii="Arial" w:eastAsia="Times New Roman" w:hAnsi="Arial" w:cs="Arial"/>
                <w:sz w:val="20"/>
                <w:szCs w:val="20"/>
                <w:lang w:eastAsia="ru-RU"/>
              </w:rPr>
              <w:br/>
              <w:t>- срыв и возникновение опасности по защите лесов и растений</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10. Мелиорация и строительство водохозяйственных объектов и их эксплуатация, орошение земель, использование земель водного фонда республики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Порча земель; - угроза возникновения занижения плодородности почв;</w:t>
            </w:r>
            <w:r w:rsidRPr="00930F99">
              <w:rPr>
                <w:rFonts w:ascii="Arial" w:eastAsia="Times New Roman" w:hAnsi="Arial" w:cs="Arial"/>
                <w:sz w:val="20"/>
                <w:szCs w:val="20"/>
                <w:lang w:eastAsia="ru-RU"/>
              </w:rPr>
              <w:br/>
              <w:t>- угроза возникновения оползня и обвалов;</w:t>
            </w:r>
            <w:r w:rsidRPr="00930F99">
              <w:rPr>
                <w:rFonts w:ascii="Arial" w:eastAsia="Times New Roman" w:hAnsi="Arial" w:cs="Arial"/>
                <w:sz w:val="20"/>
                <w:szCs w:val="20"/>
                <w:lang w:eastAsia="ru-RU"/>
              </w:rPr>
              <w:br/>
              <w:t>- угроза возникновения заболачиваемости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r>
      <w:tr w:rsidR="00930F99" w:rsidRPr="00930F99" w:rsidTr="00930F99">
        <w:tc>
          <w:tcPr>
            <w:tcW w:w="2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80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Незначительная степень риска</w:t>
            </w: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11. Использование пастбищных угодий на территории айылных аймаков республики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Деградация пастбищ;</w:t>
            </w:r>
            <w:r w:rsidRPr="00930F99">
              <w:rPr>
                <w:rFonts w:ascii="Arial" w:eastAsia="Times New Roman" w:hAnsi="Arial" w:cs="Arial"/>
                <w:sz w:val="20"/>
                <w:szCs w:val="20"/>
                <w:lang w:eastAsia="ru-RU"/>
              </w:rPr>
              <w:br/>
              <w:t>- угроза разрушения структуры почв;</w:t>
            </w:r>
            <w:r w:rsidRPr="00930F99">
              <w:rPr>
                <w:rFonts w:ascii="Arial" w:eastAsia="Times New Roman" w:hAnsi="Arial" w:cs="Arial"/>
                <w:sz w:val="20"/>
                <w:szCs w:val="20"/>
                <w:lang w:eastAsia="ru-RU"/>
              </w:rPr>
              <w:br/>
              <w:t>- уничтожение плодородного слоя;</w:t>
            </w:r>
            <w:r w:rsidRPr="00930F99">
              <w:rPr>
                <w:rFonts w:ascii="Arial" w:eastAsia="Times New Roman" w:hAnsi="Arial" w:cs="Arial"/>
                <w:sz w:val="20"/>
                <w:szCs w:val="20"/>
                <w:lang w:eastAsia="ru-RU"/>
              </w:rPr>
              <w:br/>
              <w:t>- порча земель;</w:t>
            </w:r>
            <w:r w:rsidRPr="00930F99">
              <w:rPr>
                <w:rFonts w:ascii="Arial" w:eastAsia="Times New Roman" w:hAnsi="Arial" w:cs="Arial"/>
                <w:sz w:val="20"/>
                <w:szCs w:val="20"/>
                <w:lang w:eastAsia="ru-RU"/>
              </w:rPr>
              <w:br/>
            </w:r>
            <w:r w:rsidRPr="00930F99">
              <w:rPr>
                <w:rFonts w:ascii="Arial" w:eastAsia="Times New Roman" w:hAnsi="Arial" w:cs="Arial"/>
                <w:sz w:val="20"/>
                <w:szCs w:val="20"/>
                <w:lang w:eastAsia="ru-RU"/>
              </w:rPr>
              <w:lastRenderedPageBreak/>
              <w:t>- неисполнение рекультивационных работ;</w:t>
            </w:r>
            <w:r w:rsidRPr="00930F99">
              <w:rPr>
                <w:rFonts w:ascii="Arial" w:eastAsia="Times New Roman" w:hAnsi="Arial" w:cs="Arial"/>
                <w:sz w:val="20"/>
                <w:szCs w:val="20"/>
                <w:lang w:eastAsia="ru-RU"/>
              </w:rPr>
              <w:br/>
              <w:t>- неуплата за возмещение потерь сельскохозяйственного производства;</w:t>
            </w:r>
            <w:r w:rsidRPr="00930F99">
              <w:rPr>
                <w:rFonts w:ascii="Arial" w:eastAsia="Times New Roman" w:hAnsi="Arial" w:cs="Arial"/>
                <w:sz w:val="20"/>
                <w:szCs w:val="20"/>
                <w:lang w:eastAsia="ru-RU"/>
              </w:rPr>
              <w:br/>
              <w:t>- возникновение опасности по защите лесов, растений, животного мира</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40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12. Использование земель населенных пунктов и городов на территории Кыргызской Республики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Нецелевое использование земель;</w:t>
            </w:r>
            <w:r w:rsidRPr="00930F99">
              <w:rPr>
                <w:rFonts w:ascii="Arial" w:eastAsia="Times New Roman" w:hAnsi="Arial" w:cs="Arial"/>
                <w:sz w:val="20"/>
                <w:szCs w:val="20"/>
                <w:lang w:eastAsia="ru-RU"/>
              </w:rPr>
              <w:br/>
              <w:t>- срыв и нарушение режима, установленного согласно утвержденному Генплану;</w:t>
            </w:r>
            <w:r w:rsidRPr="00930F99">
              <w:rPr>
                <w:rFonts w:ascii="Arial" w:eastAsia="Times New Roman" w:hAnsi="Arial" w:cs="Arial"/>
                <w:sz w:val="20"/>
                <w:szCs w:val="20"/>
                <w:lang w:eastAsia="ru-RU"/>
              </w:rPr>
              <w:br/>
              <w:t>- возникновение появления опасности продовольственной и экологической безопасности из-за использования земель без трансформации из одной категории земель в другую;</w:t>
            </w:r>
            <w:r w:rsidRPr="00930F99">
              <w:rPr>
                <w:rFonts w:ascii="Arial" w:eastAsia="Times New Roman" w:hAnsi="Arial" w:cs="Arial"/>
                <w:sz w:val="20"/>
                <w:szCs w:val="20"/>
                <w:lang w:eastAsia="ru-RU"/>
              </w:rPr>
              <w:br/>
              <w:t>- возникновение опасности резкого сокращения площадей земельных участков общего пользования (парков, скверов, бульваров, тротуаров, проезжей части дорог, а также социальных объектов);</w:t>
            </w:r>
            <w:r w:rsidRPr="00930F99">
              <w:rPr>
                <w:rFonts w:ascii="Arial" w:eastAsia="Times New Roman" w:hAnsi="Arial" w:cs="Arial"/>
                <w:sz w:val="20"/>
                <w:szCs w:val="20"/>
                <w:lang w:eastAsia="ru-RU"/>
              </w:rPr>
              <w:br/>
              <w:t>- угроза занижения экологической обстановки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r>
      <w:tr w:rsidR="00930F99" w:rsidRPr="00930F99" w:rsidTr="00930F99">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13. Использование орошаемой богарной пашни, а также многолетних, плодово-ягодных насаждений на территории айылных аймаков республики</w:t>
            </w:r>
          </w:p>
        </w:tc>
        <w:tc>
          <w:tcPr>
            <w:tcW w:w="20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Угроза появления заболачиваемости, зарастания камышами;</w:t>
            </w:r>
            <w:r w:rsidRPr="00930F99">
              <w:rPr>
                <w:rFonts w:ascii="Arial" w:eastAsia="Times New Roman" w:hAnsi="Arial" w:cs="Arial"/>
                <w:sz w:val="20"/>
                <w:szCs w:val="20"/>
                <w:lang w:eastAsia="ru-RU"/>
              </w:rPr>
              <w:br/>
              <w:t>- угроза срыва продовольственной и экологической безопасности;</w:t>
            </w:r>
            <w:r w:rsidRPr="00930F99">
              <w:rPr>
                <w:rFonts w:ascii="Arial" w:eastAsia="Times New Roman" w:hAnsi="Arial" w:cs="Arial"/>
                <w:sz w:val="20"/>
                <w:szCs w:val="20"/>
                <w:lang w:eastAsia="ru-RU"/>
              </w:rPr>
              <w:br/>
              <w:t>- нецелевое использование земель;</w:t>
            </w:r>
            <w:r w:rsidRPr="00930F99">
              <w:rPr>
                <w:rFonts w:ascii="Arial" w:eastAsia="Times New Roman" w:hAnsi="Arial" w:cs="Arial"/>
                <w:sz w:val="20"/>
                <w:szCs w:val="20"/>
                <w:lang w:eastAsia="ru-RU"/>
              </w:rPr>
              <w:br/>
              <w:t>- появление деградации земель;</w:t>
            </w:r>
            <w:r w:rsidRPr="00930F99">
              <w:rPr>
                <w:rFonts w:ascii="Arial" w:eastAsia="Times New Roman" w:hAnsi="Arial" w:cs="Arial"/>
                <w:sz w:val="20"/>
                <w:szCs w:val="20"/>
                <w:lang w:eastAsia="ru-RU"/>
              </w:rPr>
              <w:br/>
              <w:t>- возникновение опасности оползней и обвалов в случае использования земельных участков на крутых склонах, на почвах, подверженных эрозии</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19" w:name="g18"/>
      <w:bookmarkEnd w:id="19"/>
      <w:r w:rsidRPr="00930F99">
        <w:rPr>
          <w:rFonts w:ascii="Arial" w:eastAsia="Times New Roman" w:hAnsi="Arial" w:cs="Arial"/>
          <w:b/>
          <w:bCs/>
          <w:sz w:val="24"/>
          <w:szCs w:val="24"/>
          <w:lang w:eastAsia="ru-RU"/>
        </w:rPr>
        <w:t>Глава 18. Критерии оценки степени риска предпринимательской деятельности в сфере пожарной безопасности</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41" w:history="1">
        <w:r w:rsidRPr="00930F99">
          <w:rPr>
            <w:rFonts w:ascii="Arial" w:eastAsia="Times New Roman" w:hAnsi="Arial" w:cs="Arial"/>
            <w:i/>
            <w:iCs/>
            <w:color w:val="0000FF"/>
            <w:sz w:val="20"/>
            <w:szCs w:val="20"/>
            <w:u w:val="single"/>
            <w:lang w:eastAsia="ru-RU"/>
          </w:rPr>
          <w:t>15 июня 2012 года N 422</w:t>
        </w:r>
      </w:hyperlink>
      <w:r w:rsidRPr="00930F99">
        <w:rPr>
          <w:rFonts w:ascii="Arial" w:eastAsia="Times New Roman" w:hAnsi="Arial" w:cs="Arial"/>
          <w:i/>
          <w:iCs/>
          <w:sz w:val="20"/>
          <w:szCs w:val="20"/>
          <w:lang w:eastAsia="ru-RU"/>
        </w:rPr>
        <w:t>)</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67. Критерии оценки степени риска предпринимательской деятельности в сфере пожарной безопасности:</w:t>
      </w:r>
    </w:p>
    <w:tbl>
      <w:tblPr>
        <w:tblW w:w="5000" w:type="pct"/>
        <w:tblCellMar>
          <w:left w:w="0" w:type="dxa"/>
          <w:right w:w="0" w:type="dxa"/>
        </w:tblCellMar>
        <w:tblLook w:val="04A0" w:firstRow="1" w:lastRow="0" w:firstColumn="1" w:lastColumn="0" w:noHBand="0" w:noVBand="1"/>
      </w:tblPr>
      <w:tblGrid>
        <w:gridCol w:w="439"/>
        <w:gridCol w:w="5822"/>
        <w:gridCol w:w="1710"/>
        <w:gridCol w:w="1600"/>
      </w:tblGrid>
      <w:tr w:rsidR="00930F99" w:rsidRPr="00930F99" w:rsidTr="00930F99">
        <w:tc>
          <w:tcPr>
            <w:tcW w:w="1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w:t>
            </w:r>
          </w:p>
        </w:tc>
        <w:tc>
          <w:tcPr>
            <w:tcW w:w="30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1. Функциональное назначение</w:t>
            </w:r>
          </w:p>
        </w:tc>
        <w:tc>
          <w:tcPr>
            <w:tcW w:w="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Угроза тяжести последствий (баллы)</w:t>
            </w:r>
          </w:p>
        </w:tc>
        <w:tc>
          <w:tcPr>
            <w:tcW w:w="8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Частота согласно статистике (баллы)</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Предприятия нефтехимии, нефтеперерабатывающие, нефтебазы, мазутохранилища</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2</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Автозаправочные станции (вблизи жилых зон) автомобильные газонаполнительные станции</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Автозаправочные станции (отдаленные от жилых зон)</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Покрасочные, малярные пункты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Хранение и реализация кислородных баллонов, газовых баллонов, газонаполнительные, кислородные станции</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Мебельные, деревообрабатывающие фабрики, цеха, лесопилки</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Школьные, дошкольные учебные учреждения</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Вузы, лицеи, колледжи, техникумы, профессионально-технические училища (общежития при них)</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Специальные дома престарелых, инвалидов, детские дома</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Больницы, поликлиники, со стационарным лечением, роддома и др.</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11</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Гостиницы, отели, дома отдыха, пансионаты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Культурно просветительные учреждения (библиотеки, музеи, выставки, кинотеатры, театры)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13</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Торговые комплексы, супермаркеты, магазины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14</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Предприятия общественного питания, кафе, рестораны, столовые и др.</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Производственные, промышленные здания и сооружения, склады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16</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Аэропорты, автовокзалы, ж/д вокзалы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17</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Предприятия стратегического назначения для безопасности и экономики (ТЭЦ, ГЭС, водозаборные станции и т.д.)</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18</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Здания, имеющие культурную, историческую, информационную ценность</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19</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Объекты сельхозназначения, фермы, поля зерновых культур и грубых кормов</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Новостроящиеся объекты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21</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Открытые стоянки для автомобилей, СТО</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22</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Многоэтажные стоянки для автомобилей, надземные, подземные</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23</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Предприятия бытового обслуживания</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24</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Сауны, бани</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25</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Рынки, базары, торговые базы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26</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Здания научно-исследовательских, проектных организаций, учреждений, органов управления, административные здания, офисы и т.д.</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c>
          <w:tcPr>
            <w:tcW w:w="198"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27</w:t>
            </w:r>
          </w:p>
        </w:tc>
        <w:tc>
          <w:tcPr>
            <w:tcW w:w="3052"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Физкультурно-оздоровительные комплексы - стадионы, спортивно-тренировочные учреждения:</w:t>
            </w:r>
          </w:p>
        </w:tc>
        <w:tc>
          <w:tcPr>
            <w:tcW w:w="90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84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r>
      <w:tr w:rsidR="00930F99" w:rsidRPr="00930F99" w:rsidTr="00930F99">
        <w:tc>
          <w:tcPr>
            <w:tcW w:w="198"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052"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без трибун для зрителей</w:t>
            </w:r>
          </w:p>
        </w:tc>
        <w:tc>
          <w:tcPr>
            <w:tcW w:w="90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c>
          <w:tcPr>
            <w:tcW w:w="84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98" w:type="pct"/>
            <w:tcBorders>
              <w:top w:val="nil"/>
              <w:left w:val="single" w:sz="8" w:space="0" w:color="auto"/>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052"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с трибунами для зрителей</w:t>
            </w:r>
          </w:p>
        </w:tc>
        <w:tc>
          <w:tcPr>
            <w:tcW w:w="904"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847" w:type="pct"/>
            <w:tcBorders>
              <w:top w:val="nil"/>
              <w:left w:val="nil"/>
              <w:bottom w:val="nil"/>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 </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 находящиеся в подвальных и цокольных этажах</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35</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28</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Ночные клубы, диско-клубы</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c>
          <w:tcPr>
            <w:tcW w:w="1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29</w:t>
            </w:r>
          </w:p>
        </w:tc>
        <w:tc>
          <w:tcPr>
            <w:tcW w:w="305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rPr>
                <w:rFonts w:ascii="Arial" w:eastAsia="Times New Roman" w:hAnsi="Arial" w:cs="Arial"/>
                <w:sz w:val="20"/>
                <w:szCs w:val="20"/>
                <w:lang w:eastAsia="ru-RU"/>
              </w:rPr>
            </w:pPr>
            <w:r w:rsidRPr="00930F99">
              <w:rPr>
                <w:rFonts w:ascii="Arial" w:eastAsia="Times New Roman" w:hAnsi="Arial" w:cs="Arial"/>
                <w:sz w:val="20"/>
                <w:szCs w:val="20"/>
                <w:lang w:eastAsia="ru-RU"/>
              </w:rPr>
              <w:t>Высотные жилые дома</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30</w:t>
            </w:r>
          </w:p>
        </w:tc>
        <w:tc>
          <w:tcPr>
            <w:tcW w:w="847"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bl>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20" w:name="g19"/>
      <w:bookmarkEnd w:id="20"/>
      <w:r w:rsidRPr="00930F99">
        <w:rPr>
          <w:rFonts w:ascii="Arial" w:eastAsia="Times New Roman" w:hAnsi="Arial" w:cs="Arial"/>
          <w:b/>
          <w:bCs/>
          <w:sz w:val="24"/>
          <w:szCs w:val="24"/>
          <w:lang w:eastAsia="ru-RU"/>
        </w:rPr>
        <w:t>Глава 19. Критерии оценки степени риска предпринимательской деятельности в области строительной безопасности</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(Глава</w:t>
      </w:r>
      <w:r w:rsidRPr="00930F99">
        <w:rPr>
          <w:rFonts w:ascii="Arial" w:eastAsia="Times New Roman" w:hAnsi="Arial" w:cs="Arial"/>
          <w:i/>
          <w:iCs/>
          <w:sz w:val="20"/>
          <w:szCs w:val="20"/>
          <w:lang w:eastAsia="ru-RU"/>
        </w:rPr>
        <w:br/>
        <w:t xml:space="preserve">в редакции постановления Правительства КР от </w:t>
      </w:r>
      <w:hyperlink r:id="rId42" w:history="1">
        <w:r w:rsidRPr="00930F99">
          <w:rPr>
            <w:rFonts w:ascii="Arial" w:eastAsia="Times New Roman" w:hAnsi="Arial" w:cs="Arial"/>
            <w:i/>
            <w:iCs/>
            <w:color w:val="0000FF"/>
            <w:sz w:val="20"/>
            <w:szCs w:val="20"/>
            <w:u w:val="single"/>
            <w:lang w:eastAsia="ru-RU"/>
          </w:rPr>
          <w:t>15 июня 2012 года N 422</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68. Перечень объектов риска предпринимательской деятельности в области строительной безопасности установлен </w:t>
      </w:r>
      <w:hyperlink r:id="rId43" w:history="1">
        <w:r w:rsidRPr="00930F99">
          <w:rPr>
            <w:rFonts w:ascii="Arial" w:eastAsia="Times New Roman" w:hAnsi="Arial" w:cs="Arial"/>
            <w:color w:val="0000FF"/>
            <w:sz w:val="20"/>
            <w:szCs w:val="20"/>
            <w:u w:val="single"/>
            <w:lang w:eastAsia="ru-RU"/>
          </w:rPr>
          <w:t>постановлением</w:t>
        </w:r>
      </w:hyperlink>
      <w:r w:rsidRPr="00930F99">
        <w:rPr>
          <w:rFonts w:ascii="Arial" w:eastAsia="Times New Roman" w:hAnsi="Arial" w:cs="Arial"/>
          <w:sz w:val="20"/>
          <w:szCs w:val="20"/>
          <w:lang w:eastAsia="ru-RU"/>
        </w:rPr>
        <w:t xml:space="preserve"> Правительства Кыргызской Республики "Об утверждении </w:t>
      </w:r>
      <w:hyperlink r:id="rId44" w:history="1">
        <w:r w:rsidRPr="00930F99">
          <w:rPr>
            <w:rFonts w:ascii="Arial" w:eastAsia="Times New Roman" w:hAnsi="Arial" w:cs="Arial"/>
            <w:color w:val="0000FF"/>
            <w:sz w:val="20"/>
            <w:szCs w:val="20"/>
            <w:u w:val="single"/>
            <w:lang w:eastAsia="ru-RU"/>
          </w:rPr>
          <w:t>Положения</w:t>
        </w:r>
      </w:hyperlink>
      <w:r w:rsidRPr="00930F99">
        <w:rPr>
          <w:rFonts w:ascii="Arial" w:eastAsia="Times New Roman" w:hAnsi="Arial" w:cs="Arial"/>
          <w:sz w:val="20"/>
          <w:szCs w:val="20"/>
          <w:lang w:eastAsia="ru-RU"/>
        </w:rPr>
        <w:t xml:space="preserve"> о классификации характеристик объектов строительства и порядке проведения государственного архитектурно-строительного надзора за объектами строительства, реконструкции и иными изменениями объектов недвижимости в Кыргызской Республике" от 10 февраля 2009 года N 95:</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объекты строительства, возводимые на территории Кыргызской Республики, относящиеся к I-III категории строительства, относятся к высокой степени риска - 90 баллов;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объекты строительства IV - категории не подлежат архитектурно-строительному надзору.</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21" w:name="g20"/>
      <w:bookmarkEnd w:id="21"/>
      <w:r w:rsidRPr="00930F99">
        <w:rPr>
          <w:rFonts w:ascii="Arial" w:eastAsia="Times New Roman" w:hAnsi="Arial" w:cs="Arial"/>
          <w:b/>
          <w:bCs/>
          <w:sz w:val="24"/>
          <w:szCs w:val="24"/>
          <w:lang w:eastAsia="ru-RU"/>
        </w:rPr>
        <w:t>Глава 20. Критерии оценки степени риска предпринимательской деятельности в области метрологии</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(Глава </w:t>
      </w:r>
      <w:r w:rsidRPr="00930F99">
        <w:rPr>
          <w:rFonts w:ascii="Arial" w:eastAsia="Times New Roman" w:hAnsi="Arial" w:cs="Arial"/>
          <w:i/>
          <w:iCs/>
          <w:sz w:val="20"/>
          <w:szCs w:val="20"/>
          <w:lang w:eastAsia="ru-RU"/>
        </w:rPr>
        <w:br/>
        <w:t xml:space="preserve">в редакции </w:t>
      </w:r>
      <w:hyperlink r:id="rId45" w:history="1">
        <w:r w:rsidRPr="00930F99">
          <w:rPr>
            <w:rFonts w:ascii="Arial" w:eastAsia="Times New Roman" w:hAnsi="Arial" w:cs="Arial"/>
            <w:i/>
            <w:iCs/>
            <w:color w:val="0000FF"/>
            <w:sz w:val="20"/>
            <w:szCs w:val="20"/>
            <w:u w:val="single"/>
            <w:lang w:eastAsia="ru-RU"/>
          </w:rPr>
          <w:t>постановления</w:t>
        </w:r>
      </w:hyperlink>
      <w:r w:rsidRPr="00930F99">
        <w:rPr>
          <w:rFonts w:ascii="Arial" w:eastAsia="Times New Roman" w:hAnsi="Arial" w:cs="Arial"/>
          <w:i/>
          <w:iCs/>
          <w:sz w:val="20"/>
          <w:szCs w:val="20"/>
          <w:lang w:eastAsia="ru-RU"/>
        </w:rPr>
        <w:t xml:space="preserve"> Правительства КР от 12 декабря 2012 года N 829)</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69. Степень риска в области государственного метрологического надзора подразделяется на высокую, среднюю, незначительную.</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Степень риска при осуществлении деятельности в области государственного метрологического надзора определяется в зависимости от вероятности причинения вреда гражданам и экономике Кыргызской Республики вследствие недостоверных результатов измерений.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70. К высокой степени риска относятся виды деятельности, связанные с измерениями, результаты которых используются при: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работах по обеспечению защиты жизни и здоровья физических лиц;</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работах по обеспечению безопасности труда и движения транспорта;</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надзоре за состоянием окружающей среды;</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государственных учетных операциях;</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торгово-коммерческих операциях между покупателем (потребителем) и продавцом (поставщиком, производителем, исполнителем);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работе в сферах бытовых и коммунальных услуг.</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 средней степени риска относятся виды деятельности, связанные с измерениями, результаты которых используются при: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осуществлении деятельности в геодезии, геологии и гидрометеорологии;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производстве вооружения, военной и специальной техники, других видов специальной продукции;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добыче, производстве, переработке, транспортировании, хранении и потреблении всех видов энергетических ресурсов;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испытаниях, метрологической аттестации, поверке, калибровке средств измерений;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осуществлении деятельности по оценке соответствия согласно законодательству Кыргызской Республики о техническом регулировании;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работах, выполняемых по поручению государственных органов, суда и правоохранительных органов.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 незначительной степени риска относятся виды деятельности, связанные с измерениями, результаты которых используются при: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проведении научных исследований;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регистрации национальных и международных спортивных рекордов.</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71. При первичной оценке субъектов предпринимательства, в случае отсутствия в базе данных Государственной инспекции по метрологическому надзору при Министерстве экономики Кыргызской Республики сведений о нарушениях законодательства в области метрологии, субъект переходит в более низкую степень риска.</w:t>
      </w:r>
    </w:p>
    <w:p w:rsidR="00930F99" w:rsidRPr="00930F99" w:rsidRDefault="00930F99" w:rsidP="00930F99">
      <w:pPr>
        <w:spacing w:after="12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72. Определение степени риска субъектов:</w:t>
      </w:r>
    </w:p>
    <w:tbl>
      <w:tblPr>
        <w:tblW w:w="5000" w:type="pct"/>
        <w:tblCellMar>
          <w:left w:w="0" w:type="dxa"/>
          <w:right w:w="0" w:type="dxa"/>
        </w:tblCellMar>
        <w:tblLook w:val="04A0" w:firstRow="1" w:lastRow="0" w:firstColumn="1" w:lastColumn="0" w:noHBand="0" w:noVBand="1"/>
      </w:tblPr>
      <w:tblGrid>
        <w:gridCol w:w="1906"/>
        <w:gridCol w:w="514"/>
        <w:gridCol w:w="6255"/>
        <w:gridCol w:w="896"/>
      </w:tblGrid>
      <w:tr w:rsidR="00930F99" w:rsidRPr="00930F99" w:rsidTr="00930F99">
        <w:trPr>
          <w:trHeight w:val="20"/>
        </w:trPr>
        <w:tc>
          <w:tcPr>
            <w:tcW w:w="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Факторы риска</w:t>
            </w:r>
          </w:p>
        </w:tc>
        <w:tc>
          <w:tcPr>
            <w:tcW w:w="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N п/п</w:t>
            </w:r>
          </w:p>
        </w:tc>
        <w:tc>
          <w:tcPr>
            <w:tcW w:w="3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Критерии риска</w:t>
            </w:r>
          </w:p>
        </w:tc>
        <w:tc>
          <w:tcPr>
            <w:tcW w:w="3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b/>
                <w:bCs/>
                <w:sz w:val="20"/>
                <w:szCs w:val="20"/>
                <w:lang w:eastAsia="ru-RU"/>
              </w:rPr>
              <w:t>Баллы</w:t>
            </w:r>
          </w:p>
        </w:tc>
      </w:tr>
      <w:tr w:rsidR="00930F99" w:rsidRPr="00930F99" w:rsidTr="00930F99">
        <w:trPr>
          <w:trHeight w:val="20"/>
        </w:trPr>
        <w:tc>
          <w:tcPr>
            <w:tcW w:w="96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Организационные</w:t>
            </w: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метрологической службы и лица, ответственного за состояние применяемых средств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нормативных документов по обеспечению единства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3</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оборудованного помещения для проведения поверочных работ</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4</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помещений на праве собственности либо в имущественном найме для производства (ремонта, в том числе для приемки и хранения) средств измерений, соответствующих санитарным нормам и правилам, требованиям безопасности труда и охраны окружающей среды</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Отсутствие необходимого технологического, измерительного и испытательного оборудования, метрологически аттестованного либо поверенного в установленном порядке, обеспечивающего в полном объеме контроль влияющих величин при производстве и испытании производимых средств измерений (для производства) и контроль качества ремонтных работ (для ремонта), и руководств по их эксплуатации </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6</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документированной системы внутреннего контроля качества производства и испытания средств измерений (для производства)</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7</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утвержденного графика поверки средств измерений с указанием периодичности поверки и контроля их выполнения</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96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Состояния средств измерений</w:t>
            </w: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Применение средств измерений, не прошедших в установленном порядке утверждение типа</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9</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Применение не прошедших в установленном порядке государственную поверку и (или) неисправных средств измерений, эталонов единиц величин</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Ввоз, производство, реализация и реклама средств измерений, эталонов единиц величин, не прошедших испытания для целей утверждения типа или метрологическую аттестацию (не внесенные в реестр государственной системы обеспечения единства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11</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Применение методик выполнения измерений, подлежащих государственному метрологическому контролю и не прошедших метрологическую аттестацию</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12</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Несоблюдение условий, связанных с получением (переоформлением) разрешительных документов на право производства и ремонта средств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13</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нормативной, а также утвержденной и согласованной в установленном порядке технической документации (технического задания, технических условий, конструкторско-технологической документации) на производство (ремонт) средств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14</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прослеживаемости используемых эталонов и средств измерений</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15</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Применение и ремонт средств измерений, в том числе стандартных образцов состава и свойств веществ и материалов, аттестованных смесей веществ без соответствующего разрешения</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16</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квалификационных требований в должностных инструкциях к персоналу, выполняющему метрологическую аттестацию стандартных образцов</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17</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Несоответствие условий эксплуатации средств измерений требованиям технической документации</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96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Торговых операций</w:t>
            </w: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18</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Реализация продукции с несоответствующими массой, объемом, расходами или другими величинами, характеризующими количество товаров, отчуждаемых при торговых операциях</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50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19</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Реализация продукции с несоответствующим количеством содержащегося в упаковке товара величине, обозначенной на упаковке</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80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на ярлыках (этикетках) или упаковках сведений о номинальном количестве товара, пределе допускаемых отклонений, хозяйствующем субъекте (изготовителя, расфасовщика)</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10</w:t>
            </w:r>
          </w:p>
        </w:tc>
      </w:tr>
      <w:tr w:rsidR="00930F99" w:rsidRPr="00930F99" w:rsidTr="00930F99">
        <w:trPr>
          <w:trHeight w:val="20"/>
        </w:trPr>
        <w:tc>
          <w:tcPr>
            <w:tcW w:w="0" w:type="auto"/>
            <w:vMerge/>
            <w:tcBorders>
              <w:top w:val="nil"/>
              <w:left w:val="single" w:sz="8" w:space="0" w:color="auto"/>
              <w:bottom w:val="single" w:sz="8" w:space="0" w:color="auto"/>
              <w:right w:val="single" w:sz="8" w:space="0" w:color="auto"/>
            </w:tcBorders>
            <w:vAlign w:val="center"/>
            <w:hideMark/>
          </w:tcPr>
          <w:p w:rsidR="00930F99" w:rsidRPr="00930F99" w:rsidRDefault="00930F99" w:rsidP="00930F99">
            <w:pPr>
              <w:rPr>
                <w:rFonts w:ascii="Arial" w:eastAsia="Times New Roman" w:hAnsi="Arial" w:cs="Arial"/>
                <w:sz w:val="20"/>
                <w:szCs w:val="20"/>
                <w:lang w:eastAsia="ru-RU"/>
              </w:rPr>
            </w:pP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21</w:t>
            </w:r>
          </w:p>
        </w:tc>
        <w:tc>
          <w:tcPr>
            <w:tcW w:w="3426"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rPr>
                <w:rFonts w:ascii="Arial" w:eastAsia="Times New Roman" w:hAnsi="Arial" w:cs="Arial"/>
                <w:sz w:val="20"/>
                <w:szCs w:val="20"/>
                <w:lang w:eastAsia="ru-RU"/>
              </w:rPr>
            </w:pPr>
            <w:r w:rsidRPr="00930F99">
              <w:rPr>
                <w:rFonts w:ascii="Arial" w:eastAsia="Times New Roman" w:hAnsi="Arial" w:cs="Arial"/>
                <w:sz w:val="20"/>
                <w:szCs w:val="20"/>
                <w:lang w:eastAsia="ru-RU"/>
              </w:rPr>
              <w:t>Отсутствие (неукомплектованность) необходимыми средствами измерения</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rsidR="00930F99" w:rsidRPr="00930F99" w:rsidRDefault="00930F99" w:rsidP="00930F99">
            <w:pPr>
              <w:spacing w:after="60" w:line="20" w:lineRule="atLeast"/>
              <w:jc w:val="center"/>
              <w:rPr>
                <w:rFonts w:ascii="Arial" w:eastAsia="Times New Roman" w:hAnsi="Arial" w:cs="Arial"/>
                <w:sz w:val="20"/>
                <w:szCs w:val="20"/>
                <w:lang w:eastAsia="ru-RU"/>
              </w:rPr>
            </w:pPr>
            <w:r w:rsidRPr="00930F99">
              <w:rPr>
                <w:rFonts w:ascii="Arial" w:eastAsia="Times New Roman" w:hAnsi="Arial" w:cs="Arial"/>
                <w:sz w:val="20"/>
                <w:szCs w:val="20"/>
                <w:lang w:eastAsia="ru-RU"/>
              </w:rPr>
              <w:t>20</w:t>
            </w:r>
          </w:p>
        </w:tc>
      </w:tr>
    </w:tbl>
    <w:p w:rsidR="00930F99" w:rsidRPr="00930F99" w:rsidRDefault="00930F99" w:rsidP="00930F99">
      <w:pPr>
        <w:spacing w:before="120"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73. Отбор проверяемых субъектов внутри одного уровня риска осуществляется по следующим критериям:</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наибольшее количество используемых средств измерений;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наличие подтвержденных фактов нарушений по жалобам со стороны потребителей, обращений контролирующих государственных органов о выявленных нарушениях в области метрологии;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наибольший непроверенный период.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74. По критериям риска, не относящимся к проверяемому субъекту предпринимательства, баллы не начисляются (равно нулю).</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Определение критериев оценки степени риска и распределение по степеням риска проверяемых субъектов для проведения плановых проверок государственными инспекторами по государственному надзору осуществляется ежегодно.</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22" w:name="g21"/>
      <w:bookmarkEnd w:id="22"/>
      <w:r w:rsidRPr="00930F99">
        <w:rPr>
          <w:rFonts w:ascii="Arial" w:eastAsia="Times New Roman" w:hAnsi="Arial" w:cs="Arial"/>
          <w:b/>
          <w:bCs/>
          <w:sz w:val="24"/>
          <w:szCs w:val="24"/>
          <w:lang w:eastAsia="ru-RU"/>
        </w:rPr>
        <w:t>Глава 21. Критерии оценки степени риска предпринимательской деятельности в области изучения, использования и охраны недр</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(Глава </w:t>
      </w:r>
      <w:r w:rsidRPr="00930F99">
        <w:rPr>
          <w:rFonts w:ascii="Arial" w:eastAsia="Times New Roman" w:hAnsi="Arial" w:cs="Arial"/>
          <w:i/>
          <w:iCs/>
          <w:sz w:val="20"/>
          <w:szCs w:val="20"/>
          <w:lang w:eastAsia="ru-RU"/>
        </w:rPr>
        <w:br/>
        <w:t xml:space="preserve">в редакции </w:t>
      </w:r>
      <w:hyperlink r:id="rId46" w:history="1">
        <w:r w:rsidRPr="00930F99">
          <w:rPr>
            <w:rFonts w:ascii="Arial" w:eastAsia="Times New Roman" w:hAnsi="Arial" w:cs="Arial"/>
            <w:i/>
            <w:iCs/>
            <w:color w:val="0000FF"/>
            <w:sz w:val="20"/>
            <w:szCs w:val="20"/>
            <w:u w:val="single"/>
            <w:lang w:eastAsia="ru-RU"/>
          </w:rPr>
          <w:t>постановления</w:t>
        </w:r>
      </w:hyperlink>
      <w:r w:rsidRPr="00930F99">
        <w:rPr>
          <w:rFonts w:ascii="Arial" w:eastAsia="Times New Roman" w:hAnsi="Arial" w:cs="Arial"/>
          <w:i/>
          <w:iCs/>
          <w:sz w:val="20"/>
          <w:szCs w:val="20"/>
          <w:lang w:eastAsia="ru-RU"/>
        </w:rPr>
        <w:t xml:space="preserve"> Правительства КР от 12 июня 2015 года № 353)</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75. К высокой степени риска (80 баллов) относятся субъекты предпринимательства, осуществляющие деятельность:</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добыче и переработке твердых полезных ископаемых, включая техногенные образования;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lastRenderedPageBreak/>
        <w:t>- по добыче углеводородного сырья;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добыче подземных вод.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76. К средней степени риска (50 баллов) относятся субъекты предпринимательства, осуществляющие деятельность:</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разведке твердых полезных ископаемых, включая техногенные образования;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разведке углеводородного сырья;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разведке подземных вод.</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77. К незначительной степени риска (25 баллов) относятся субъекты предпринимательства, осуществляющие деятельность:</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геологическому поиску твердых полезных ископаемых;</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геологическому поиску углеводородного сырья;</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по геологическому поиску подземных вод.</w:t>
      </w:r>
    </w:p>
    <w:p w:rsidR="00930F99" w:rsidRPr="00930F99" w:rsidRDefault="00930F99" w:rsidP="00930F99">
      <w:pPr>
        <w:spacing w:before="200"/>
        <w:ind w:left="1134" w:right="1134"/>
        <w:jc w:val="center"/>
        <w:rPr>
          <w:rFonts w:ascii="Arial" w:eastAsia="Times New Roman" w:hAnsi="Arial" w:cs="Arial"/>
          <w:b/>
          <w:bCs/>
          <w:sz w:val="24"/>
          <w:szCs w:val="24"/>
          <w:lang w:eastAsia="ru-RU"/>
        </w:rPr>
      </w:pPr>
      <w:bookmarkStart w:id="23" w:name="g22"/>
      <w:bookmarkEnd w:id="23"/>
      <w:r w:rsidRPr="00930F99">
        <w:rPr>
          <w:rFonts w:ascii="Arial" w:eastAsia="Times New Roman" w:hAnsi="Arial" w:cs="Arial"/>
          <w:b/>
          <w:bCs/>
          <w:sz w:val="24"/>
          <w:szCs w:val="24"/>
          <w:lang w:eastAsia="ru-RU"/>
        </w:rPr>
        <w:t>Глава 22. Критерии оценки степени риска при осуществлении предпринимательской деятельности в области радиационной безопасности</w:t>
      </w:r>
    </w:p>
    <w:p w:rsidR="00930F99" w:rsidRPr="00930F99" w:rsidRDefault="00930F99" w:rsidP="00930F99">
      <w:pPr>
        <w:ind w:left="1134" w:right="1134"/>
        <w:jc w:val="center"/>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(Глава</w:t>
      </w:r>
      <w:r w:rsidRPr="00930F99">
        <w:rPr>
          <w:rFonts w:ascii="Arial" w:eastAsia="Times New Roman" w:hAnsi="Arial" w:cs="Arial"/>
          <w:i/>
          <w:iCs/>
          <w:sz w:val="20"/>
          <w:szCs w:val="20"/>
          <w:lang w:eastAsia="ru-RU"/>
        </w:rPr>
        <w:br/>
        <w:t xml:space="preserve">в редакции постановления Правительства КР от </w:t>
      </w:r>
      <w:hyperlink r:id="rId47"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78. Оценка степени риска в области радиационной безопасности осуществляется на базе классификации объектов радиационной безопасности, установленной </w:t>
      </w:r>
      <w:hyperlink r:id="rId48" w:history="1">
        <w:r w:rsidRPr="00930F99">
          <w:rPr>
            <w:rFonts w:ascii="Arial" w:eastAsia="Times New Roman" w:hAnsi="Arial" w:cs="Arial"/>
            <w:color w:val="0000FF"/>
            <w:sz w:val="20"/>
            <w:szCs w:val="20"/>
            <w:u w:val="single"/>
            <w:lang w:eastAsia="ru-RU"/>
          </w:rPr>
          <w:t>Законом</w:t>
        </w:r>
      </w:hyperlink>
      <w:r w:rsidRPr="00930F99">
        <w:rPr>
          <w:rFonts w:ascii="Arial" w:eastAsia="Times New Roman" w:hAnsi="Arial" w:cs="Arial"/>
          <w:sz w:val="20"/>
          <w:szCs w:val="20"/>
          <w:lang w:eastAsia="ru-RU"/>
        </w:rPr>
        <w:t xml:space="preserve"> Кыргызской Республики Технический регламент "О радиационной безопасности".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Высокая степень риска присваивается субъектам, эксплуатирующим радиационные объекты I категории.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Средняя степень риска присваивается субъектам, эксплуатирующим радиационные объекты II категории.</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Незначительная степень риска присваивается субъектам, эксплуатирующим радиационные объекты III и IV категорий.</w:t>
      </w:r>
    </w:p>
    <w:p w:rsidR="00930F99" w:rsidRPr="00930F99" w:rsidRDefault="00930F99" w:rsidP="00930F99">
      <w:pPr>
        <w:spacing w:after="60"/>
        <w:ind w:firstLine="567"/>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В случае, если субъект эксплуатирует объекты разных категорий, степень риска присваивается по объекту с наивысшей категорией.</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xml:space="preserve">(В редакции постановления Правительства КР от </w:t>
      </w:r>
      <w:hyperlink r:id="rId49" w:history="1">
        <w:r w:rsidRPr="00930F99">
          <w:rPr>
            <w:rFonts w:ascii="Arial" w:eastAsia="Times New Roman" w:hAnsi="Arial" w:cs="Arial"/>
            <w:i/>
            <w:iCs/>
            <w:color w:val="0000FF"/>
            <w:sz w:val="20"/>
            <w:szCs w:val="20"/>
            <w:u w:val="single"/>
            <w:lang w:eastAsia="ru-RU"/>
          </w:rPr>
          <w:t>31 марта 2016 года № 167</w:t>
        </w:r>
      </w:hyperlink>
      <w:r w:rsidRPr="00930F99">
        <w:rPr>
          <w:rFonts w:ascii="Arial" w:eastAsia="Times New Roman" w:hAnsi="Arial" w:cs="Arial"/>
          <w:i/>
          <w:iCs/>
          <w:sz w:val="20"/>
          <w:szCs w:val="20"/>
          <w:lang w:eastAsia="ru-RU"/>
        </w:rPr>
        <w:t>)</w:t>
      </w:r>
    </w:p>
    <w:p w:rsidR="00930F99" w:rsidRPr="00930F99" w:rsidRDefault="00930F99" w:rsidP="00930F99">
      <w:pPr>
        <w:spacing w:after="60"/>
        <w:ind w:firstLine="567"/>
        <w:jc w:val="both"/>
        <w:rPr>
          <w:rFonts w:ascii="Arial" w:eastAsia="Times New Roman" w:hAnsi="Arial" w:cs="Arial"/>
          <w:i/>
          <w:iCs/>
          <w:sz w:val="20"/>
          <w:szCs w:val="20"/>
          <w:lang w:eastAsia="ru-RU"/>
        </w:rPr>
      </w:pPr>
      <w:r w:rsidRPr="00930F99">
        <w:rPr>
          <w:rFonts w:ascii="Arial" w:eastAsia="Times New Roman" w:hAnsi="Arial" w:cs="Arial"/>
          <w:i/>
          <w:iCs/>
          <w:sz w:val="20"/>
          <w:szCs w:val="20"/>
          <w:lang w:eastAsia="ru-RU"/>
        </w:rPr>
        <w:t> </w:t>
      </w:r>
    </w:p>
    <w:p w:rsidR="00930F99" w:rsidRPr="00930F99" w:rsidRDefault="00930F99" w:rsidP="00930F99">
      <w:pPr>
        <w:spacing w:after="60"/>
        <w:ind w:firstLine="567"/>
        <w:jc w:val="right"/>
        <w:rPr>
          <w:rFonts w:ascii="Arial" w:eastAsia="Times New Roman" w:hAnsi="Arial" w:cs="Arial"/>
          <w:sz w:val="20"/>
          <w:szCs w:val="20"/>
          <w:lang w:eastAsia="ru-RU"/>
        </w:rPr>
      </w:pPr>
      <w:bookmarkStart w:id="24" w:name="pr1"/>
      <w:bookmarkEnd w:id="1"/>
      <w:bookmarkEnd w:id="24"/>
      <w:r w:rsidRPr="00930F99">
        <w:rPr>
          <w:rFonts w:ascii="Arial" w:eastAsia="Times New Roman" w:hAnsi="Arial" w:cs="Arial"/>
          <w:sz w:val="20"/>
          <w:szCs w:val="20"/>
          <w:lang w:eastAsia="ru-RU"/>
        </w:rPr>
        <w:t>Приложение</w:t>
      </w:r>
    </w:p>
    <w:p w:rsidR="00930F99" w:rsidRPr="00930F99" w:rsidRDefault="00930F99" w:rsidP="00930F99">
      <w:pPr>
        <w:spacing w:before="400" w:after="400"/>
        <w:ind w:left="1134" w:right="1134"/>
        <w:jc w:val="center"/>
        <w:rPr>
          <w:rFonts w:ascii="Arial" w:eastAsia="Times New Roman" w:hAnsi="Arial" w:cs="Arial"/>
          <w:b/>
          <w:bCs/>
          <w:sz w:val="24"/>
          <w:szCs w:val="24"/>
          <w:lang w:eastAsia="ru-RU"/>
        </w:rPr>
      </w:pPr>
      <w:r w:rsidRPr="00930F99">
        <w:rPr>
          <w:rFonts w:ascii="Arial" w:eastAsia="Times New Roman" w:hAnsi="Arial" w:cs="Arial"/>
          <w:b/>
          <w:bCs/>
          <w:sz w:val="24"/>
          <w:szCs w:val="24"/>
          <w:lang w:eastAsia="ru-RU"/>
        </w:rPr>
        <w:t>Список сокращений</w:t>
      </w:r>
    </w:p>
    <w:tbl>
      <w:tblPr>
        <w:tblW w:w="5000" w:type="pct"/>
        <w:tblCellMar>
          <w:left w:w="0" w:type="dxa"/>
          <w:right w:w="0" w:type="dxa"/>
        </w:tblCellMar>
        <w:tblLook w:val="04A0" w:firstRow="1" w:lastRow="0" w:firstColumn="1" w:lastColumn="0" w:noHBand="0" w:noVBand="1"/>
      </w:tblPr>
      <w:tblGrid>
        <w:gridCol w:w="1419"/>
        <w:gridCol w:w="283"/>
        <w:gridCol w:w="8220"/>
      </w:tblGrid>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КОП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категория опасности субъекта предпринимательства;</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ОБУВ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ориентировочный безопасный уровень воздействия;</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ОРС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озоноразрушающая способность вещества, регулируемого </w:t>
            </w:r>
            <w:hyperlink r:id="rId50" w:history="1">
              <w:r w:rsidRPr="00930F99">
                <w:rPr>
                  <w:rFonts w:ascii="Arial" w:eastAsia="Times New Roman" w:hAnsi="Arial" w:cs="Arial"/>
                  <w:color w:val="0000FF"/>
                  <w:sz w:val="20"/>
                  <w:szCs w:val="20"/>
                  <w:u w:val="single"/>
                  <w:lang w:eastAsia="ru-RU"/>
                </w:rPr>
                <w:t>Монреальским протоколом</w:t>
              </w:r>
            </w:hyperlink>
            <w:r w:rsidRPr="00930F99">
              <w:rPr>
                <w:rFonts w:ascii="Arial" w:eastAsia="Times New Roman" w:hAnsi="Arial" w:cs="Arial"/>
                <w:sz w:val="20"/>
                <w:szCs w:val="20"/>
                <w:lang w:eastAsia="ru-RU"/>
              </w:rPr>
              <w:t xml:space="preserve"> по веществам, разрушающим озоновый слой (</w:t>
            </w:r>
            <w:hyperlink r:id="rId51" w:history="1">
              <w:r w:rsidRPr="00930F99">
                <w:rPr>
                  <w:rFonts w:ascii="Arial" w:eastAsia="Times New Roman" w:hAnsi="Arial" w:cs="Arial"/>
                  <w:color w:val="0000FF"/>
                  <w:sz w:val="20"/>
                  <w:szCs w:val="20"/>
                  <w:u w:val="single"/>
                  <w:lang w:eastAsia="ru-RU"/>
                </w:rPr>
                <w:t>Закон</w:t>
              </w:r>
            </w:hyperlink>
            <w:r w:rsidRPr="00930F99">
              <w:rPr>
                <w:rFonts w:ascii="Arial" w:eastAsia="Times New Roman" w:hAnsi="Arial" w:cs="Arial"/>
                <w:sz w:val="20"/>
                <w:szCs w:val="20"/>
                <w:lang w:eastAsia="ru-RU"/>
              </w:rPr>
              <w:t xml:space="preserve"> Кыргызской Республики "О ратификации </w:t>
            </w:r>
            <w:hyperlink r:id="rId52" w:history="1">
              <w:r w:rsidRPr="00930F99">
                <w:rPr>
                  <w:rFonts w:ascii="Arial" w:eastAsia="Times New Roman" w:hAnsi="Arial" w:cs="Arial"/>
                  <w:color w:val="0000FF"/>
                  <w:sz w:val="20"/>
                  <w:szCs w:val="20"/>
                  <w:u w:val="single"/>
                  <w:lang w:eastAsia="ru-RU"/>
                </w:rPr>
                <w:t>Венской конвенции</w:t>
              </w:r>
            </w:hyperlink>
            <w:r w:rsidRPr="00930F99">
              <w:rPr>
                <w:rFonts w:ascii="Arial" w:eastAsia="Times New Roman" w:hAnsi="Arial" w:cs="Arial"/>
                <w:sz w:val="20"/>
                <w:szCs w:val="20"/>
                <w:lang w:eastAsia="ru-RU"/>
              </w:rPr>
              <w:t xml:space="preserve"> об охране озонового слоя и </w:t>
            </w:r>
            <w:hyperlink r:id="rId53" w:history="1">
              <w:r w:rsidRPr="00930F99">
                <w:rPr>
                  <w:rFonts w:ascii="Arial" w:eastAsia="Times New Roman" w:hAnsi="Arial" w:cs="Arial"/>
                  <w:color w:val="0000FF"/>
                  <w:sz w:val="20"/>
                  <w:szCs w:val="20"/>
                  <w:u w:val="single"/>
                  <w:lang w:eastAsia="ru-RU"/>
                </w:rPr>
                <w:t>Монреальского протокола</w:t>
              </w:r>
            </w:hyperlink>
            <w:r w:rsidRPr="00930F99">
              <w:rPr>
                <w:rFonts w:ascii="Arial" w:eastAsia="Times New Roman" w:hAnsi="Arial" w:cs="Arial"/>
                <w:sz w:val="20"/>
                <w:szCs w:val="20"/>
                <w:lang w:eastAsia="ru-RU"/>
              </w:rPr>
              <w:t xml:space="preserve"> по веществам, разрушающим озоновый слой";</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ПГП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 xml:space="preserve">потенциал глобального потепления веществ, регулируемых Рамочной </w:t>
            </w:r>
            <w:hyperlink r:id="rId54" w:history="1">
              <w:r w:rsidRPr="00930F99">
                <w:rPr>
                  <w:rFonts w:ascii="Arial" w:eastAsia="Times New Roman" w:hAnsi="Arial" w:cs="Arial"/>
                  <w:color w:val="0000FF"/>
                  <w:sz w:val="20"/>
                  <w:szCs w:val="20"/>
                  <w:u w:val="single"/>
                  <w:lang w:eastAsia="ru-RU"/>
                </w:rPr>
                <w:t>конвенцией</w:t>
              </w:r>
            </w:hyperlink>
            <w:r w:rsidRPr="00930F99">
              <w:rPr>
                <w:rFonts w:ascii="Arial" w:eastAsia="Times New Roman" w:hAnsi="Arial" w:cs="Arial"/>
                <w:sz w:val="20"/>
                <w:szCs w:val="20"/>
                <w:lang w:eastAsia="ru-RU"/>
              </w:rPr>
              <w:t xml:space="preserve"> ООН об изменении климата (</w:t>
            </w:r>
            <w:hyperlink r:id="rId55" w:history="1">
              <w:r w:rsidRPr="00930F99">
                <w:rPr>
                  <w:rFonts w:ascii="Arial" w:eastAsia="Times New Roman" w:hAnsi="Arial" w:cs="Arial"/>
                  <w:color w:val="0000FF"/>
                  <w:sz w:val="20"/>
                  <w:szCs w:val="20"/>
                  <w:u w:val="single"/>
                  <w:lang w:eastAsia="ru-RU"/>
                </w:rPr>
                <w:t>Закон</w:t>
              </w:r>
            </w:hyperlink>
            <w:r w:rsidRPr="00930F99">
              <w:rPr>
                <w:rFonts w:ascii="Arial" w:eastAsia="Times New Roman" w:hAnsi="Arial" w:cs="Arial"/>
                <w:sz w:val="20"/>
                <w:szCs w:val="20"/>
                <w:lang w:eastAsia="ru-RU"/>
              </w:rPr>
              <w:t xml:space="preserve"> Кыргызской Республики "О присоединении Кыргызской Республики к Рамочной </w:t>
            </w:r>
            <w:hyperlink r:id="rId56" w:history="1">
              <w:r w:rsidRPr="00930F99">
                <w:rPr>
                  <w:rFonts w:ascii="Arial" w:eastAsia="Times New Roman" w:hAnsi="Arial" w:cs="Arial"/>
                  <w:color w:val="0000FF"/>
                  <w:sz w:val="20"/>
                  <w:szCs w:val="20"/>
                  <w:u w:val="single"/>
                  <w:lang w:eastAsia="ru-RU"/>
                </w:rPr>
                <w:t>конвенции</w:t>
              </w:r>
            </w:hyperlink>
            <w:r w:rsidRPr="00930F99">
              <w:rPr>
                <w:rFonts w:ascii="Arial" w:eastAsia="Times New Roman" w:hAnsi="Arial" w:cs="Arial"/>
                <w:sz w:val="20"/>
                <w:szCs w:val="20"/>
                <w:lang w:eastAsia="ru-RU"/>
              </w:rPr>
              <w:t xml:space="preserve"> ООН об изменении климата и </w:t>
            </w:r>
            <w:hyperlink r:id="rId57" w:history="1">
              <w:r w:rsidRPr="00930F99">
                <w:rPr>
                  <w:rFonts w:ascii="Arial" w:eastAsia="Times New Roman" w:hAnsi="Arial" w:cs="Arial"/>
                  <w:color w:val="0000FF"/>
                  <w:sz w:val="20"/>
                  <w:szCs w:val="20"/>
                  <w:u w:val="single"/>
                  <w:lang w:eastAsia="ru-RU"/>
                </w:rPr>
                <w:t>Конвенции</w:t>
              </w:r>
            </w:hyperlink>
            <w:r w:rsidRPr="00930F99">
              <w:rPr>
                <w:rFonts w:ascii="Arial" w:eastAsia="Times New Roman" w:hAnsi="Arial" w:cs="Arial"/>
                <w:sz w:val="20"/>
                <w:szCs w:val="20"/>
                <w:lang w:eastAsia="ru-RU"/>
              </w:rPr>
              <w:t xml:space="preserve"> ЕЭК ООН по трансграничному загрязнению воздуха на большие расстояния");</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ОАО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открытое акционерное общество;</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lastRenderedPageBreak/>
              <w:t xml:space="preserve">ТЭЦ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теплоэлектроцентраль;</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ГЭС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гидроэлектростанция;</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ПС ГЭС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подстанция гидроэлектростанции;</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ПУЭ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правила устройства электроустановок;</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КПП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крупные промышленные предприятия;</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ПДК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предельно допустимая концентрация;</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ПДВ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предельно допустимый выброс;</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ПДС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предельно допустимый сброс;</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ПДУ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предельно допустимый уровень;</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ЭМП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электромагнитное поле;</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ОПП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оптовые покупатели перепродавцы;</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ПП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п</w:t>
            </w:r>
            <w:r w:rsidRPr="00930F99">
              <w:rPr>
                <w:rFonts w:ascii="Arial" w:eastAsia="Times New Roman" w:hAnsi="Arial" w:cs="Arial"/>
                <w:sz w:val="20"/>
                <w:szCs w:val="20"/>
                <w:lang w:eastAsia="ru-RU"/>
              </w:rPr>
              <w:t>отребители</w:t>
            </w:r>
            <w:r w:rsidRPr="00930F99">
              <w:rPr>
                <w:rFonts w:ascii="Arial" w:eastAsia="Times New Roman" w:hAnsi="Arial" w:cs="Arial"/>
                <w:sz w:val="20"/>
                <w:szCs w:val="20"/>
                <w:lang w:val="ky-KG" w:eastAsia="ru-RU"/>
              </w:rPr>
              <w:t>-</w:t>
            </w:r>
            <w:r w:rsidRPr="00930F99">
              <w:rPr>
                <w:rFonts w:ascii="Arial" w:eastAsia="Times New Roman" w:hAnsi="Arial" w:cs="Arial"/>
                <w:sz w:val="20"/>
                <w:szCs w:val="20"/>
                <w:lang w:eastAsia="ru-RU"/>
              </w:rPr>
              <w:t>перепродавцы;</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ТЭК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т</w:t>
            </w:r>
            <w:r w:rsidRPr="00930F99">
              <w:rPr>
                <w:rFonts w:ascii="Arial" w:eastAsia="Times New Roman" w:hAnsi="Arial" w:cs="Arial"/>
                <w:sz w:val="20"/>
                <w:szCs w:val="20"/>
                <w:lang w:eastAsia="ru-RU"/>
              </w:rPr>
              <w:t>опливно</w:t>
            </w:r>
            <w:r w:rsidRPr="00930F99">
              <w:rPr>
                <w:rFonts w:ascii="Arial" w:eastAsia="Times New Roman" w:hAnsi="Arial" w:cs="Arial"/>
                <w:sz w:val="20"/>
                <w:szCs w:val="20"/>
                <w:lang w:val="ky-KG" w:eastAsia="ru-RU"/>
              </w:rPr>
              <w:t>-</w:t>
            </w:r>
            <w:r w:rsidRPr="00930F99">
              <w:rPr>
                <w:rFonts w:ascii="Arial" w:eastAsia="Times New Roman" w:hAnsi="Arial" w:cs="Arial"/>
                <w:sz w:val="20"/>
                <w:szCs w:val="20"/>
                <w:lang w:eastAsia="ru-RU"/>
              </w:rPr>
              <w:t>энергетический комплекс;</w:t>
            </w:r>
          </w:p>
        </w:tc>
      </w:tr>
      <w:tr w:rsidR="00930F99" w:rsidRPr="00930F99" w:rsidTr="00930F99">
        <w:tc>
          <w:tcPr>
            <w:tcW w:w="0" w:type="pct"/>
            <w:noWrap/>
            <w:tcMar>
              <w:top w:w="0" w:type="dxa"/>
              <w:left w:w="567" w:type="dxa"/>
              <w:bottom w:w="0" w:type="dxa"/>
              <w:right w:w="108" w:type="dxa"/>
            </w:tcMar>
            <w:hideMark/>
          </w:tcPr>
          <w:p w:rsidR="00930F99" w:rsidRPr="00930F99" w:rsidRDefault="00930F99" w:rsidP="00930F99">
            <w:pPr>
              <w:spacing w:after="60" w:line="240" w:lineRule="auto"/>
              <w:rPr>
                <w:rFonts w:ascii="Arial" w:eastAsia="Times New Roman" w:hAnsi="Arial" w:cs="Arial"/>
                <w:sz w:val="20"/>
                <w:szCs w:val="20"/>
                <w:lang w:eastAsia="ru-RU"/>
              </w:rPr>
            </w:pPr>
            <w:r w:rsidRPr="00930F99">
              <w:rPr>
                <w:rFonts w:ascii="Arial" w:eastAsia="Times New Roman" w:hAnsi="Arial" w:cs="Arial"/>
                <w:b/>
                <w:bCs/>
                <w:sz w:val="20"/>
                <w:szCs w:val="20"/>
                <w:lang w:eastAsia="ru-RU"/>
              </w:rPr>
              <w:t xml:space="preserve">MCA </w:t>
            </w:r>
          </w:p>
        </w:tc>
        <w:tc>
          <w:tcPr>
            <w:tcW w:w="0" w:type="pct"/>
            <w:tcMar>
              <w:top w:w="0" w:type="dxa"/>
              <w:left w:w="108" w:type="dxa"/>
              <w:bottom w:w="0" w:type="dxa"/>
              <w:right w:w="108"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val="ky-KG" w:eastAsia="ru-RU"/>
              </w:rPr>
              <w:t>-</w:t>
            </w:r>
          </w:p>
        </w:tc>
        <w:tc>
          <w:tcPr>
            <w:tcW w:w="5000" w:type="pct"/>
            <w:tcMar>
              <w:top w:w="0" w:type="dxa"/>
              <w:left w:w="108" w:type="dxa"/>
              <w:bottom w:w="0" w:type="dxa"/>
              <w:right w:w="0" w:type="dxa"/>
            </w:tcMar>
            <w:hideMark/>
          </w:tcPr>
          <w:p w:rsidR="00930F99" w:rsidRPr="00930F99" w:rsidRDefault="00930F99" w:rsidP="00930F99">
            <w:pPr>
              <w:spacing w:after="60" w:line="240" w:lineRule="auto"/>
              <w:jc w:val="both"/>
              <w:rPr>
                <w:rFonts w:ascii="Arial" w:eastAsia="Times New Roman" w:hAnsi="Arial" w:cs="Arial"/>
                <w:sz w:val="20"/>
                <w:szCs w:val="20"/>
                <w:lang w:eastAsia="ru-RU"/>
              </w:rPr>
            </w:pPr>
            <w:r w:rsidRPr="00930F99">
              <w:rPr>
                <w:rFonts w:ascii="Arial" w:eastAsia="Times New Roman" w:hAnsi="Arial" w:cs="Arial"/>
                <w:sz w:val="20"/>
                <w:szCs w:val="20"/>
                <w:lang w:eastAsia="ru-RU"/>
              </w:rPr>
              <w:t>Международные стандарты аудита.</w:t>
            </w:r>
          </w:p>
        </w:tc>
      </w:tr>
    </w:tbl>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99"/>
    <w:rsid w:val="00866BF0"/>
    <w:rsid w:val="0093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F99"/>
    <w:rPr>
      <w:color w:val="0000FF"/>
      <w:u w:val="single"/>
    </w:rPr>
  </w:style>
  <w:style w:type="character" w:styleId="a4">
    <w:name w:val="FollowedHyperlink"/>
    <w:basedOn w:val="a0"/>
    <w:uiPriority w:val="99"/>
    <w:semiHidden/>
    <w:unhideWhenUsed/>
    <w:rsid w:val="00930F99"/>
    <w:rPr>
      <w:color w:val="800080"/>
      <w:u w:val="single"/>
    </w:rPr>
  </w:style>
  <w:style w:type="paragraph" w:customStyle="1" w:styleId="tkRedakcijaSpisok">
    <w:name w:val="_В редакции список (tkRedakcijaSpisok)"/>
    <w:basedOn w:val="a"/>
    <w:rsid w:val="00930F99"/>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30F99"/>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930F99"/>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930F99"/>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930F99"/>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930F99"/>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930F99"/>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930F99"/>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930F99"/>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930F99"/>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930F99"/>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930F99"/>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930F99"/>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930F99"/>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930F99"/>
    <w:pPr>
      <w:spacing w:after="60"/>
      <w:jc w:val="both"/>
    </w:pPr>
    <w:rPr>
      <w:rFonts w:ascii="Arial" w:eastAsia="Times New Roman" w:hAnsi="Arial" w:cs="Arial"/>
      <w:sz w:val="20"/>
      <w:szCs w:val="20"/>
      <w:lang w:eastAsia="ru-RU"/>
    </w:rPr>
  </w:style>
  <w:style w:type="paragraph" w:customStyle="1" w:styleId="tkForma">
    <w:name w:val="_Форма (tkForma)"/>
    <w:basedOn w:val="a"/>
    <w:rsid w:val="00930F99"/>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930F99"/>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930F99"/>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F99"/>
    <w:rPr>
      <w:color w:val="0000FF"/>
      <w:u w:val="single"/>
    </w:rPr>
  </w:style>
  <w:style w:type="character" w:styleId="a4">
    <w:name w:val="FollowedHyperlink"/>
    <w:basedOn w:val="a0"/>
    <w:uiPriority w:val="99"/>
    <w:semiHidden/>
    <w:unhideWhenUsed/>
    <w:rsid w:val="00930F99"/>
    <w:rPr>
      <w:color w:val="800080"/>
      <w:u w:val="single"/>
    </w:rPr>
  </w:style>
  <w:style w:type="paragraph" w:customStyle="1" w:styleId="tkRedakcijaSpisok">
    <w:name w:val="_В редакции список (tkRedakcijaSpisok)"/>
    <w:basedOn w:val="a"/>
    <w:rsid w:val="00930F99"/>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30F99"/>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930F99"/>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930F99"/>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930F99"/>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930F99"/>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930F99"/>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930F99"/>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930F99"/>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930F99"/>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930F99"/>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930F99"/>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930F99"/>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930F99"/>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930F99"/>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930F99"/>
    <w:pPr>
      <w:spacing w:after="60"/>
      <w:jc w:val="both"/>
    </w:pPr>
    <w:rPr>
      <w:rFonts w:ascii="Arial" w:eastAsia="Times New Roman" w:hAnsi="Arial" w:cs="Arial"/>
      <w:sz w:val="20"/>
      <w:szCs w:val="20"/>
      <w:lang w:eastAsia="ru-RU"/>
    </w:rPr>
  </w:style>
  <w:style w:type="paragraph" w:customStyle="1" w:styleId="tkForma">
    <w:name w:val="_Форма (tkForma)"/>
    <w:basedOn w:val="a"/>
    <w:rsid w:val="00930F99"/>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930F99"/>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930F99"/>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02985" TargetMode="External"/><Relationship Id="rId18" Type="http://schemas.openxmlformats.org/officeDocument/2006/relationships/hyperlink" Target="toktom://db/116423" TargetMode="External"/><Relationship Id="rId26" Type="http://schemas.openxmlformats.org/officeDocument/2006/relationships/hyperlink" Target="toktom://db/135379" TargetMode="External"/><Relationship Id="rId39" Type="http://schemas.openxmlformats.org/officeDocument/2006/relationships/hyperlink" Target="toktom://db/131117" TargetMode="External"/><Relationship Id="rId21" Type="http://schemas.openxmlformats.org/officeDocument/2006/relationships/hyperlink" Target="toktom://db/135379" TargetMode="External"/><Relationship Id="rId34" Type="http://schemas.openxmlformats.org/officeDocument/2006/relationships/hyperlink" Target="toktom://db/135379" TargetMode="External"/><Relationship Id="rId42" Type="http://schemas.openxmlformats.org/officeDocument/2006/relationships/hyperlink" Target="toktom://db/113936" TargetMode="External"/><Relationship Id="rId47" Type="http://schemas.openxmlformats.org/officeDocument/2006/relationships/hyperlink" Target="toktom://db/135379" TargetMode="External"/><Relationship Id="rId50" Type="http://schemas.openxmlformats.org/officeDocument/2006/relationships/hyperlink" Target="toktom://db/15657" TargetMode="External"/><Relationship Id="rId55" Type="http://schemas.openxmlformats.org/officeDocument/2006/relationships/hyperlink" Target="toktom://db/15498" TargetMode="External"/><Relationship Id="rId7" Type="http://schemas.openxmlformats.org/officeDocument/2006/relationships/hyperlink" Target="toktom://db/121705" TargetMode="External"/><Relationship Id="rId12" Type="http://schemas.openxmlformats.org/officeDocument/2006/relationships/hyperlink" Target="toktom://db/104036" TargetMode="External"/><Relationship Id="rId17" Type="http://schemas.openxmlformats.org/officeDocument/2006/relationships/hyperlink" Target="toktom://db/113936" TargetMode="External"/><Relationship Id="rId25" Type="http://schemas.openxmlformats.org/officeDocument/2006/relationships/hyperlink" Target="toktom://db/135379" TargetMode="External"/><Relationship Id="rId33" Type="http://schemas.openxmlformats.org/officeDocument/2006/relationships/hyperlink" Target="toktom://db/135379" TargetMode="External"/><Relationship Id="rId38" Type="http://schemas.openxmlformats.org/officeDocument/2006/relationships/hyperlink" Target="toktom://db/45825" TargetMode="External"/><Relationship Id="rId46" Type="http://schemas.openxmlformats.org/officeDocument/2006/relationships/hyperlink" Target="toktom://db/130113"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admin\AppData\Local\Temp\Toktom\095c1601-eed4-49bf-8cd0-5cc83f72c4c5\document.htm" TargetMode="External"/><Relationship Id="rId20" Type="http://schemas.openxmlformats.org/officeDocument/2006/relationships/hyperlink" Target="toktom://db/131117" TargetMode="External"/><Relationship Id="rId29" Type="http://schemas.openxmlformats.org/officeDocument/2006/relationships/hyperlink" Target="toktom://db/121705" TargetMode="External"/><Relationship Id="rId41" Type="http://schemas.openxmlformats.org/officeDocument/2006/relationships/hyperlink" Target="toktom://db/113936" TargetMode="External"/><Relationship Id="rId54" Type="http://schemas.openxmlformats.org/officeDocument/2006/relationships/hyperlink" Target="toktom://db/6349" TargetMode="External"/><Relationship Id="rId1" Type="http://schemas.openxmlformats.org/officeDocument/2006/relationships/styles" Target="styles.xml"/><Relationship Id="rId6" Type="http://schemas.openxmlformats.org/officeDocument/2006/relationships/hyperlink" Target="toktom://db/116423" TargetMode="External"/><Relationship Id="rId11" Type="http://schemas.openxmlformats.org/officeDocument/2006/relationships/hyperlink" Target="toktom://db/102985" TargetMode="External"/><Relationship Id="rId24" Type="http://schemas.openxmlformats.org/officeDocument/2006/relationships/hyperlink" Target="toktom://db/135379" TargetMode="External"/><Relationship Id="rId32" Type="http://schemas.openxmlformats.org/officeDocument/2006/relationships/hyperlink" Target="toktom://db/135379" TargetMode="External"/><Relationship Id="rId37" Type="http://schemas.openxmlformats.org/officeDocument/2006/relationships/hyperlink" Target="toktom://db/45825" TargetMode="External"/><Relationship Id="rId40" Type="http://schemas.openxmlformats.org/officeDocument/2006/relationships/hyperlink" Target="toktom://db/113936" TargetMode="External"/><Relationship Id="rId45" Type="http://schemas.openxmlformats.org/officeDocument/2006/relationships/hyperlink" Target="toktom://db/116423" TargetMode="External"/><Relationship Id="rId53" Type="http://schemas.openxmlformats.org/officeDocument/2006/relationships/hyperlink" Target="toktom://db/15657" TargetMode="External"/><Relationship Id="rId58" Type="http://schemas.openxmlformats.org/officeDocument/2006/relationships/fontTable" Target="fontTable.xml"/><Relationship Id="rId5" Type="http://schemas.openxmlformats.org/officeDocument/2006/relationships/hyperlink" Target="toktom://db/113936" TargetMode="External"/><Relationship Id="rId15" Type="http://schemas.openxmlformats.org/officeDocument/2006/relationships/hyperlink" Target="file:///C:\Users\admin\AppData\Local\Temp\Toktom\095c1601-eed4-49bf-8cd0-5cc83f72c4c5\document.htm" TargetMode="External"/><Relationship Id="rId23" Type="http://schemas.openxmlformats.org/officeDocument/2006/relationships/hyperlink" Target="toktom://db/73838" TargetMode="External"/><Relationship Id="rId28" Type="http://schemas.openxmlformats.org/officeDocument/2006/relationships/hyperlink" Target="toktom://db/135379" TargetMode="External"/><Relationship Id="rId36" Type="http://schemas.openxmlformats.org/officeDocument/2006/relationships/hyperlink" Target="toktom://db/45825" TargetMode="External"/><Relationship Id="rId49" Type="http://schemas.openxmlformats.org/officeDocument/2006/relationships/hyperlink" Target="toktom://db/135379" TargetMode="External"/><Relationship Id="rId57" Type="http://schemas.openxmlformats.org/officeDocument/2006/relationships/hyperlink" Target="toktom://db/42430" TargetMode="External"/><Relationship Id="rId10" Type="http://schemas.openxmlformats.org/officeDocument/2006/relationships/hyperlink" Target="toktom://db/135379" TargetMode="External"/><Relationship Id="rId19" Type="http://schemas.openxmlformats.org/officeDocument/2006/relationships/hyperlink" Target="toktom://db/130113" TargetMode="External"/><Relationship Id="rId31" Type="http://schemas.openxmlformats.org/officeDocument/2006/relationships/hyperlink" Target="toktom://db/135379" TargetMode="External"/><Relationship Id="rId44" Type="http://schemas.openxmlformats.org/officeDocument/2006/relationships/hyperlink" Target="toktom://db/88186" TargetMode="External"/><Relationship Id="rId52" Type="http://schemas.openxmlformats.org/officeDocument/2006/relationships/hyperlink" Target="toktom://db/15661" TargetMode="External"/><Relationship Id="rId4" Type="http://schemas.openxmlformats.org/officeDocument/2006/relationships/webSettings" Target="webSettings.xml"/><Relationship Id="rId9" Type="http://schemas.openxmlformats.org/officeDocument/2006/relationships/hyperlink" Target="toktom://db/131117" TargetMode="External"/><Relationship Id="rId14" Type="http://schemas.openxmlformats.org/officeDocument/2006/relationships/hyperlink" Target="file:///C:\Users\admin\AppData\Local\Temp\Toktom\095c1601-eed4-49bf-8cd0-5cc83f72c4c5\document.htm" TargetMode="External"/><Relationship Id="rId22" Type="http://schemas.openxmlformats.org/officeDocument/2006/relationships/hyperlink" Target="toktom://db/135379" TargetMode="External"/><Relationship Id="rId27" Type="http://schemas.openxmlformats.org/officeDocument/2006/relationships/hyperlink" Target="toktom://db/135379" TargetMode="External"/><Relationship Id="rId30" Type="http://schemas.openxmlformats.org/officeDocument/2006/relationships/hyperlink" Target="toktom://db/135379" TargetMode="External"/><Relationship Id="rId35" Type="http://schemas.openxmlformats.org/officeDocument/2006/relationships/hyperlink" Target="toktom://db/135379" TargetMode="External"/><Relationship Id="rId43" Type="http://schemas.openxmlformats.org/officeDocument/2006/relationships/hyperlink" Target="toktom://db/88185" TargetMode="External"/><Relationship Id="rId48" Type="http://schemas.openxmlformats.org/officeDocument/2006/relationships/hyperlink" Target="toktom://db/109602" TargetMode="External"/><Relationship Id="rId56" Type="http://schemas.openxmlformats.org/officeDocument/2006/relationships/hyperlink" Target="toktom://db/6349" TargetMode="External"/><Relationship Id="rId8" Type="http://schemas.openxmlformats.org/officeDocument/2006/relationships/hyperlink" Target="toktom://db/130113" TargetMode="External"/><Relationship Id="rId51" Type="http://schemas.openxmlformats.org/officeDocument/2006/relationships/hyperlink" Target="toktom://db/155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16218</Words>
  <Characters>92443</Characters>
  <Application>Microsoft Office Word</Application>
  <DocSecurity>0</DocSecurity>
  <Lines>770</Lines>
  <Paragraphs>216</Paragraphs>
  <ScaleCrop>false</ScaleCrop>
  <Company>SPecialiST RePack</Company>
  <LinksUpToDate>false</LinksUpToDate>
  <CharactersWithSpaces>108445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2016-06-29T10:59:00Z</dcterms:created>
  <dcterms:modified xsi:type="dcterms:W3CDTF">2016-06-29T10:59:00Z</dcterms:modified>
</cp:coreProperties>
</file>